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ADC9A" w14:textId="77777777" w:rsidR="00B56E05" w:rsidRDefault="00B56E05" w:rsidP="00B56E05"/>
    <w:p w14:paraId="4EDDEFF6" w14:textId="77777777" w:rsidR="00B56E05" w:rsidRDefault="00B56E05" w:rsidP="00B56E05"/>
    <w:p w14:paraId="334B9F7D" w14:textId="77777777" w:rsidR="00B56E05" w:rsidRDefault="00B56E05" w:rsidP="00B56E05"/>
    <w:p w14:paraId="77324032" w14:textId="77777777" w:rsidR="00B56E05" w:rsidRDefault="00B56E05" w:rsidP="00B56E05"/>
    <w:p w14:paraId="5DD5AA6F" w14:textId="77777777" w:rsidR="00B56E05" w:rsidRDefault="00B56E05" w:rsidP="00B56E05"/>
    <w:p w14:paraId="68F8504B" w14:textId="77777777" w:rsidR="00B56E05" w:rsidRDefault="00B56E05" w:rsidP="00B56E05"/>
    <w:p w14:paraId="192D43A3" w14:textId="77777777" w:rsidR="00B56E05" w:rsidRDefault="00B56E05" w:rsidP="00B56E05"/>
    <w:p w14:paraId="78887763" w14:textId="77777777" w:rsidR="00B56E05" w:rsidRDefault="00B56E05" w:rsidP="00B56E05"/>
    <w:p w14:paraId="2659137E" w14:textId="77777777" w:rsidR="00B56E05" w:rsidRDefault="00B56E05" w:rsidP="00B56E05"/>
    <w:p w14:paraId="424D8C6F" w14:textId="77777777" w:rsidR="00B56E05" w:rsidRPr="00A047AA" w:rsidRDefault="00B56E05" w:rsidP="00B56E05"/>
    <w:p w14:paraId="341158FD"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技   术   交   底   书</w:t>
      </w:r>
    </w:p>
    <w:p w14:paraId="188FB383" w14:textId="77777777" w:rsidR="00B56E05" w:rsidRPr="005E3B30" w:rsidRDefault="00B56E05" w:rsidP="00B56E05">
      <w:pPr>
        <w:snapToGrid w:val="0"/>
        <w:jc w:val="center"/>
        <w:rPr>
          <w:rFonts w:ascii="仿宋_GB2312" w:eastAsia="仿宋_GB2312" w:hAnsi="Times New Roman" w:cs="Times New Roman"/>
          <w:b/>
          <w:kern w:val="0"/>
          <w:sz w:val="72"/>
          <w:szCs w:val="30"/>
        </w:rPr>
      </w:pPr>
      <w:r w:rsidRPr="005E3B30">
        <w:rPr>
          <w:rFonts w:ascii="仿宋_GB2312" w:eastAsia="仿宋_GB2312" w:hAnsi="Times New Roman" w:cs="Times New Roman" w:hint="eastAsia"/>
          <w:b/>
          <w:kern w:val="0"/>
          <w:sz w:val="72"/>
          <w:szCs w:val="30"/>
        </w:rPr>
        <w:t>（设 备 及 装 置 类）</w:t>
      </w:r>
    </w:p>
    <w:p w14:paraId="5BE654A5" w14:textId="77777777" w:rsidR="00B56E05" w:rsidRPr="00973FD1" w:rsidRDefault="00B56E05" w:rsidP="00B56E05">
      <w:pPr>
        <w:snapToGrid w:val="0"/>
        <w:spacing w:line="500" w:lineRule="exact"/>
        <w:rPr>
          <w:rFonts w:ascii="宋体" w:eastAsia="宋体" w:hAnsi="宋体"/>
          <w:sz w:val="24"/>
        </w:rPr>
      </w:pPr>
    </w:p>
    <w:p w14:paraId="2E4A36A7" w14:textId="77777777" w:rsidR="00B56E05" w:rsidRDefault="00B56E05" w:rsidP="00B56E05">
      <w:pPr>
        <w:snapToGrid w:val="0"/>
        <w:spacing w:line="500" w:lineRule="exact"/>
        <w:rPr>
          <w:rFonts w:ascii="宋体" w:eastAsia="宋体" w:hAnsi="宋体"/>
          <w:sz w:val="24"/>
        </w:rPr>
      </w:pPr>
    </w:p>
    <w:p w14:paraId="701F700B" w14:textId="77777777" w:rsidR="00B56E05" w:rsidRDefault="00B56E05" w:rsidP="00B56E05">
      <w:pPr>
        <w:snapToGrid w:val="0"/>
        <w:spacing w:line="500" w:lineRule="exact"/>
        <w:rPr>
          <w:rFonts w:ascii="宋体" w:eastAsia="宋体" w:hAnsi="宋体"/>
          <w:sz w:val="24"/>
        </w:rPr>
      </w:pPr>
    </w:p>
    <w:p w14:paraId="011A4BDD" w14:textId="77777777" w:rsidR="00B56E05" w:rsidRDefault="00B56E05" w:rsidP="00B56E05">
      <w:pPr>
        <w:snapToGrid w:val="0"/>
        <w:spacing w:line="500" w:lineRule="exact"/>
        <w:rPr>
          <w:rFonts w:ascii="宋体" w:eastAsia="宋体" w:hAnsi="宋体"/>
          <w:sz w:val="24"/>
        </w:rPr>
      </w:pPr>
    </w:p>
    <w:p w14:paraId="68DD061E" w14:textId="77777777" w:rsidR="00B56E05" w:rsidRPr="00973FD1" w:rsidRDefault="00B56E05" w:rsidP="00B56E05">
      <w:pPr>
        <w:snapToGrid w:val="0"/>
        <w:spacing w:line="500" w:lineRule="exact"/>
        <w:rPr>
          <w:rFonts w:ascii="宋体" w:eastAsia="宋体" w:hAnsi="宋体"/>
          <w:sz w:val="24"/>
        </w:rPr>
      </w:pPr>
    </w:p>
    <w:p w14:paraId="0240ACE2" w14:textId="77777777" w:rsidR="00B56E05" w:rsidRDefault="00B56E05" w:rsidP="00B56E05">
      <w:pPr>
        <w:snapToGrid w:val="0"/>
        <w:spacing w:line="500" w:lineRule="exact"/>
        <w:rPr>
          <w:rFonts w:ascii="宋体" w:eastAsia="宋体" w:hAnsi="宋体"/>
          <w:sz w:val="24"/>
        </w:rPr>
      </w:pPr>
    </w:p>
    <w:tbl>
      <w:tblPr>
        <w:tblW w:w="0" w:type="auto"/>
        <w:jc w:val="center"/>
        <w:tblLayout w:type="fixed"/>
        <w:tblLook w:val="0000" w:firstRow="0" w:lastRow="0" w:firstColumn="0" w:lastColumn="0" w:noHBand="0" w:noVBand="0"/>
      </w:tblPr>
      <w:tblGrid>
        <w:gridCol w:w="1843"/>
        <w:gridCol w:w="2410"/>
        <w:gridCol w:w="401"/>
        <w:gridCol w:w="1623"/>
        <w:gridCol w:w="2770"/>
      </w:tblGrid>
      <w:tr w:rsidR="00B56E05" w:rsidRPr="00DF3C4B" w14:paraId="2B4B5CC4" w14:textId="77777777" w:rsidTr="006A512D">
        <w:trPr>
          <w:trHeight w:val="306"/>
          <w:jc w:val="center"/>
        </w:trPr>
        <w:tc>
          <w:tcPr>
            <w:tcW w:w="1843" w:type="dxa"/>
            <w:vAlign w:val="center"/>
          </w:tcPr>
          <w:p w14:paraId="0634FBF9"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专利名称</w:t>
            </w:r>
          </w:p>
        </w:tc>
        <w:tc>
          <w:tcPr>
            <w:tcW w:w="7204" w:type="dxa"/>
            <w:gridSpan w:val="4"/>
            <w:tcBorders>
              <w:bottom w:val="single" w:sz="4" w:space="0" w:color="auto"/>
            </w:tcBorders>
            <w:vAlign w:val="center"/>
          </w:tcPr>
          <w:p w14:paraId="39B336D5"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65EB0885" w14:textId="77777777" w:rsidTr="006A512D">
        <w:trPr>
          <w:trHeight w:val="306"/>
          <w:jc w:val="center"/>
        </w:trPr>
        <w:tc>
          <w:tcPr>
            <w:tcW w:w="1843" w:type="dxa"/>
            <w:vAlign w:val="center"/>
          </w:tcPr>
          <w:p w14:paraId="05329C21" w14:textId="77777777" w:rsidR="00B56E05" w:rsidRPr="00DF3C4B" w:rsidRDefault="00B56E05" w:rsidP="006A512D">
            <w:pPr>
              <w:snapToGrid w:val="0"/>
              <w:spacing w:line="500" w:lineRule="exact"/>
              <w:ind w:hanging="2"/>
              <w:rPr>
                <w:rFonts w:ascii="仿宋_GB2312" w:eastAsia="仿宋_GB2312" w:hAnsi="宋体"/>
                <w:b/>
                <w:bCs/>
                <w:sz w:val="28"/>
              </w:rPr>
            </w:pPr>
            <w:r>
              <w:rPr>
                <w:rFonts w:ascii="仿宋_GB2312" w:eastAsia="仿宋_GB2312" w:hAnsi="宋体" w:hint="eastAsia"/>
                <w:b/>
                <w:bCs/>
                <w:sz w:val="28"/>
              </w:rPr>
              <w:t>申请单位</w:t>
            </w:r>
          </w:p>
        </w:tc>
        <w:tc>
          <w:tcPr>
            <w:tcW w:w="7204" w:type="dxa"/>
            <w:gridSpan w:val="4"/>
            <w:tcBorders>
              <w:top w:val="single" w:sz="4" w:space="0" w:color="auto"/>
              <w:bottom w:val="single" w:sz="4" w:space="0" w:color="auto"/>
            </w:tcBorders>
            <w:vAlign w:val="center"/>
          </w:tcPr>
          <w:p w14:paraId="019C5810"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311B8689" w14:textId="77777777" w:rsidTr="006A512D">
        <w:trPr>
          <w:trHeight w:val="503"/>
          <w:jc w:val="center"/>
        </w:trPr>
        <w:tc>
          <w:tcPr>
            <w:tcW w:w="1843" w:type="dxa"/>
            <w:vAlign w:val="center"/>
          </w:tcPr>
          <w:p w14:paraId="04B2C4B1" w14:textId="77777777" w:rsidR="00B56E05" w:rsidRPr="00DF3C4B" w:rsidRDefault="00B56E05" w:rsidP="006A512D">
            <w:pPr>
              <w:snapToGrid w:val="0"/>
              <w:spacing w:line="500" w:lineRule="exact"/>
              <w:ind w:hanging="2"/>
              <w:rPr>
                <w:rFonts w:ascii="仿宋_GB2312" w:eastAsia="仿宋_GB2312" w:hAnsi="宋体"/>
                <w:b/>
                <w:bCs/>
                <w:sz w:val="28"/>
              </w:rPr>
            </w:pPr>
            <w:r w:rsidRPr="00DF3C4B">
              <w:rPr>
                <w:rFonts w:ascii="仿宋_GB2312" w:eastAsia="仿宋_GB2312" w:hAnsi="宋体" w:hint="eastAsia"/>
                <w:b/>
                <w:bCs/>
                <w:sz w:val="28"/>
              </w:rPr>
              <w:t>发 明 人</w:t>
            </w:r>
          </w:p>
        </w:tc>
        <w:tc>
          <w:tcPr>
            <w:tcW w:w="7204" w:type="dxa"/>
            <w:gridSpan w:val="4"/>
            <w:tcBorders>
              <w:top w:val="single" w:sz="4" w:space="0" w:color="auto"/>
              <w:bottom w:val="single" w:sz="4" w:space="0" w:color="auto"/>
            </w:tcBorders>
            <w:vAlign w:val="center"/>
          </w:tcPr>
          <w:p w14:paraId="5930683B" w14:textId="77777777" w:rsidR="00B56E05" w:rsidRPr="00DF3C4B" w:rsidRDefault="00B56E05" w:rsidP="006A512D">
            <w:pPr>
              <w:snapToGrid w:val="0"/>
              <w:spacing w:line="500" w:lineRule="exact"/>
              <w:ind w:hanging="2"/>
              <w:rPr>
                <w:rFonts w:ascii="仿宋_GB2312" w:eastAsia="仿宋_GB2312" w:hAnsi="宋体"/>
                <w:b/>
                <w:bCs/>
                <w:sz w:val="28"/>
              </w:rPr>
            </w:pPr>
          </w:p>
        </w:tc>
      </w:tr>
      <w:tr w:rsidR="00B56E05" w:rsidRPr="00DF3C4B" w14:paraId="4322E540" w14:textId="77777777" w:rsidTr="006A512D">
        <w:trPr>
          <w:cantSplit/>
          <w:trHeight w:val="269"/>
          <w:jc w:val="center"/>
        </w:trPr>
        <w:tc>
          <w:tcPr>
            <w:tcW w:w="1843" w:type="dxa"/>
            <w:vAlign w:val="center"/>
          </w:tcPr>
          <w:p w14:paraId="08050D3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2410" w:type="dxa"/>
            <w:tcBorders>
              <w:top w:val="single" w:sz="4" w:space="0" w:color="auto"/>
            </w:tcBorders>
            <w:vAlign w:val="center"/>
          </w:tcPr>
          <w:p w14:paraId="44D8A97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tcBorders>
              <w:top w:val="single" w:sz="4" w:space="0" w:color="auto"/>
            </w:tcBorders>
            <w:vAlign w:val="center"/>
          </w:tcPr>
          <w:p w14:paraId="46EABDDB"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393" w:type="dxa"/>
            <w:gridSpan w:val="2"/>
            <w:tcBorders>
              <w:top w:val="single" w:sz="4" w:space="0" w:color="auto"/>
            </w:tcBorders>
            <w:vAlign w:val="bottom"/>
          </w:tcPr>
          <w:p w14:paraId="36826329"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56BF857E" w14:textId="77777777" w:rsidTr="006A512D">
        <w:trPr>
          <w:cantSplit/>
          <w:trHeight w:val="503"/>
          <w:jc w:val="center"/>
        </w:trPr>
        <w:tc>
          <w:tcPr>
            <w:tcW w:w="1843" w:type="dxa"/>
            <w:vAlign w:val="center"/>
          </w:tcPr>
          <w:p w14:paraId="2CC19B6C"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撰 写 人</w:t>
            </w:r>
          </w:p>
        </w:tc>
        <w:tc>
          <w:tcPr>
            <w:tcW w:w="2410" w:type="dxa"/>
            <w:tcBorders>
              <w:bottom w:val="single" w:sz="4" w:space="0" w:color="auto"/>
            </w:tcBorders>
            <w:vAlign w:val="center"/>
          </w:tcPr>
          <w:p w14:paraId="1A74498A"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restart"/>
            <w:tcBorders>
              <w:bottom w:val="single" w:sz="4" w:space="0" w:color="auto"/>
            </w:tcBorders>
            <w:vAlign w:val="center"/>
          </w:tcPr>
          <w:p w14:paraId="7A35FBA9"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04047C02"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bottom w:val="single" w:sz="4" w:space="0" w:color="auto"/>
            </w:tcBorders>
            <w:vAlign w:val="center"/>
          </w:tcPr>
          <w:p w14:paraId="3B1604B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0AAA1768" w14:textId="77777777" w:rsidTr="006A512D">
        <w:trPr>
          <w:cantSplit/>
          <w:trHeight w:val="503"/>
          <w:jc w:val="center"/>
        </w:trPr>
        <w:tc>
          <w:tcPr>
            <w:tcW w:w="1843" w:type="dxa"/>
            <w:vAlign w:val="center"/>
          </w:tcPr>
          <w:p w14:paraId="0C7128A4" w14:textId="77777777" w:rsidR="00B56E05" w:rsidRPr="00DF3C4B" w:rsidRDefault="00B56E05" w:rsidP="006A512D">
            <w:pPr>
              <w:snapToGrid w:val="0"/>
              <w:spacing w:line="500" w:lineRule="exact"/>
              <w:ind w:leftChars="14" w:left="31" w:hanging="2"/>
              <w:rPr>
                <w:rFonts w:ascii="仿宋_GB2312" w:eastAsia="仿宋_GB2312" w:hAnsi="宋体"/>
                <w:b/>
                <w:bCs/>
                <w:sz w:val="28"/>
              </w:rPr>
            </w:pPr>
            <w:r w:rsidRPr="00DF3C4B">
              <w:rPr>
                <w:rFonts w:ascii="仿宋_GB2312" w:eastAsia="仿宋_GB2312" w:hAnsi="宋体" w:hint="eastAsia"/>
                <w:b/>
                <w:bCs/>
                <w:sz w:val="28"/>
              </w:rPr>
              <w:t>电    话</w:t>
            </w:r>
          </w:p>
        </w:tc>
        <w:tc>
          <w:tcPr>
            <w:tcW w:w="2410" w:type="dxa"/>
            <w:tcBorders>
              <w:top w:val="single" w:sz="4" w:space="0" w:color="auto"/>
              <w:bottom w:val="single" w:sz="4" w:space="0" w:color="auto"/>
            </w:tcBorders>
            <w:vAlign w:val="center"/>
          </w:tcPr>
          <w:p w14:paraId="6C30C456"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tcBorders>
              <w:top w:val="single" w:sz="4" w:space="0" w:color="auto"/>
            </w:tcBorders>
            <w:vAlign w:val="center"/>
          </w:tcPr>
          <w:p w14:paraId="25E91041"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79214E93" w14:textId="77777777" w:rsidR="00B56E05" w:rsidRPr="00DF3C4B" w:rsidRDefault="00B56E05" w:rsidP="006A512D">
            <w:pPr>
              <w:snapToGrid w:val="0"/>
              <w:spacing w:line="500" w:lineRule="exact"/>
              <w:ind w:leftChars="-47" w:left="-90" w:hanging="9"/>
              <w:rPr>
                <w:rFonts w:ascii="仿宋_GB2312" w:eastAsia="仿宋_GB2312" w:hAnsi="宋体"/>
                <w:b/>
                <w:bCs/>
                <w:sz w:val="28"/>
              </w:rPr>
            </w:pPr>
          </w:p>
        </w:tc>
        <w:tc>
          <w:tcPr>
            <w:tcW w:w="2770" w:type="dxa"/>
            <w:tcBorders>
              <w:top w:val="single" w:sz="4" w:space="0" w:color="auto"/>
              <w:bottom w:val="single" w:sz="4" w:space="0" w:color="auto"/>
            </w:tcBorders>
            <w:vAlign w:val="center"/>
          </w:tcPr>
          <w:p w14:paraId="0DD049C1"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r w:rsidR="00B56E05" w:rsidRPr="00DF3C4B" w14:paraId="2C5D0FAE" w14:textId="77777777" w:rsidTr="006A512D">
        <w:trPr>
          <w:cantSplit/>
          <w:trHeight w:val="503"/>
          <w:jc w:val="center"/>
        </w:trPr>
        <w:tc>
          <w:tcPr>
            <w:tcW w:w="1843" w:type="dxa"/>
            <w:vAlign w:val="center"/>
          </w:tcPr>
          <w:p w14:paraId="3A509D4A" w14:textId="77777777" w:rsidR="00B56E05" w:rsidRPr="00DF3C4B" w:rsidRDefault="00B56E05" w:rsidP="006A512D">
            <w:pPr>
              <w:snapToGrid w:val="0"/>
              <w:spacing w:line="500" w:lineRule="exact"/>
              <w:ind w:leftChars="14" w:left="29"/>
              <w:rPr>
                <w:rFonts w:ascii="仿宋_GB2312" w:eastAsia="仿宋_GB2312" w:hAnsi="宋体"/>
                <w:b/>
                <w:bCs/>
                <w:sz w:val="28"/>
              </w:rPr>
            </w:pPr>
            <w:r w:rsidRPr="00DF3C4B">
              <w:rPr>
                <w:rFonts w:ascii="仿宋_GB2312" w:eastAsia="仿宋_GB2312" w:hAnsi="宋体" w:hint="eastAsia"/>
                <w:b/>
                <w:bCs/>
                <w:sz w:val="28"/>
              </w:rPr>
              <w:t>E-mail</w:t>
            </w:r>
          </w:p>
        </w:tc>
        <w:tc>
          <w:tcPr>
            <w:tcW w:w="2410" w:type="dxa"/>
            <w:tcBorders>
              <w:top w:val="single" w:sz="4" w:space="0" w:color="auto"/>
              <w:bottom w:val="single" w:sz="4" w:space="0" w:color="auto"/>
            </w:tcBorders>
            <w:vAlign w:val="center"/>
          </w:tcPr>
          <w:p w14:paraId="41AEF5AD"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c>
          <w:tcPr>
            <w:tcW w:w="401" w:type="dxa"/>
            <w:vMerge/>
            <w:vAlign w:val="center"/>
          </w:tcPr>
          <w:p w14:paraId="7013C6DC" w14:textId="77777777" w:rsidR="00B56E05" w:rsidRPr="00DF3C4B" w:rsidRDefault="00B56E05" w:rsidP="006A512D">
            <w:pPr>
              <w:snapToGrid w:val="0"/>
              <w:spacing w:line="500" w:lineRule="exact"/>
              <w:ind w:leftChars="-254" w:left="-531" w:hanging="2"/>
              <w:jc w:val="center"/>
              <w:rPr>
                <w:rFonts w:ascii="仿宋_GB2312" w:eastAsia="仿宋_GB2312" w:hAnsi="宋体"/>
                <w:b/>
                <w:bCs/>
                <w:sz w:val="28"/>
              </w:rPr>
            </w:pPr>
          </w:p>
        </w:tc>
        <w:tc>
          <w:tcPr>
            <w:tcW w:w="1623" w:type="dxa"/>
            <w:vAlign w:val="center"/>
          </w:tcPr>
          <w:p w14:paraId="41C0DE08" w14:textId="77777777" w:rsidR="00B56E05" w:rsidRPr="00DF3C4B" w:rsidRDefault="00B56E05" w:rsidP="006A512D">
            <w:pPr>
              <w:snapToGrid w:val="0"/>
              <w:spacing w:line="500" w:lineRule="exact"/>
              <w:ind w:leftChars="-47" w:left="-90" w:hanging="9"/>
              <w:jc w:val="left"/>
              <w:rPr>
                <w:rFonts w:ascii="仿宋_GB2312" w:eastAsia="仿宋_GB2312" w:hAnsi="宋体"/>
                <w:b/>
                <w:bCs/>
                <w:sz w:val="28"/>
              </w:rPr>
            </w:pPr>
          </w:p>
        </w:tc>
        <w:tc>
          <w:tcPr>
            <w:tcW w:w="2770" w:type="dxa"/>
            <w:tcBorders>
              <w:top w:val="single" w:sz="4" w:space="0" w:color="auto"/>
              <w:bottom w:val="single" w:sz="4" w:space="0" w:color="auto"/>
            </w:tcBorders>
            <w:vAlign w:val="center"/>
          </w:tcPr>
          <w:p w14:paraId="1F12B957" w14:textId="77777777" w:rsidR="00B56E05" w:rsidRPr="00DF3C4B" w:rsidRDefault="00B56E05" w:rsidP="006A512D">
            <w:pPr>
              <w:snapToGrid w:val="0"/>
              <w:spacing w:line="500" w:lineRule="exact"/>
              <w:ind w:leftChars="-254" w:left="-531" w:hanging="2"/>
              <w:rPr>
                <w:rFonts w:ascii="仿宋_GB2312" w:eastAsia="仿宋_GB2312" w:hAnsi="宋体"/>
                <w:b/>
                <w:bCs/>
                <w:sz w:val="28"/>
              </w:rPr>
            </w:pPr>
          </w:p>
        </w:tc>
      </w:tr>
    </w:tbl>
    <w:p w14:paraId="092F4E38" w14:textId="77777777" w:rsidR="00B56E05" w:rsidRDefault="00B56E05" w:rsidP="00B56E05"/>
    <w:p w14:paraId="76D8832C" w14:textId="77777777" w:rsidR="00B56E05" w:rsidRDefault="00B56E05" w:rsidP="00B56E05"/>
    <w:p w14:paraId="6B2D1E1A" w14:textId="77777777" w:rsidR="00B56E05" w:rsidRDefault="00B56E05" w:rsidP="00B56E05"/>
    <w:p w14:paraId="3CE8B3AC" w14:textId="77777777" w:rsidR="00B56E05" w:rsidRDefault="00B56E05" w:rsidP="00B56E05"/>
    <w:p w14:paraId="405DB4C9" w14:textId="77777777" w:rsidR="00B56E05" w:rsidRPr="00B57B8B" w:rsidRDefault="00B56E05" w:rsidP="00B56E05">
      <w:pPr>
        <w:pStyle w:val="af5"/>
        <w:snapToGrid w:val="0"/>
        <w:spacing w:line="560" w:lineRule="exact"/>
        <w:jc w:val="both"/>
        <w:rPr>
          <w:rFonts w:ascii="仿宋_GB2312" w:eastAsia="仿宋_GB2312"/>
          <w:sz w:val="28"/>
          <w:szCs w:val="30"/>
        </w:rPr>
      </w:pPr>
    </w:p>
    <w:p w14:paraId="65ED5570"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hint="eastAsia"/>
          <w:b/>
          <w:sz w:val="28"/>
          <w:szCs w:val="30"/>
        </w:rPr>
        <w:t>1</w:t>
      </w:r>
      <w:r w:rsidRPr="002C025A">
        <w:rPr>
          <w:rFonts w:ascii="仿宋_GB2312" w:eastAsia="仿宋_GB2312"/>
          <w:b/>
          <w:sz w:val="28"/>
          <w:szCs w:val="30"/>
        </w:rPr>
        <w:t xml:space="preserve"> </w:t>
      </w:r>
      <w:r w:rsidRPr="002C025A">
        <w:rPr>
          <w:rFonts w:ascii="仿宋_GB2312" w:eastAsia="仿宋_GB2312" w:hint="eastAsia"/>
          <w:b/>
          <w:sz w:val="28"/>
          <w:szCs w:val="30"/>
        </w:rPr>
        <w:t>请简述本发明的核心技术主题（直扣主题）</w:t>
      </w:r>
    </w:p>
    <w:p w14:paraId="09A9EE70" w14:textId="107832F3" w:rsidR="00B56E05" w:rsidRPr="00FC0422"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lastRenderedPageBreak/>
        <w:t>这是一种智能化的机器人铺层系统，属于先进制造、机器人技术和复合材料加工领域。它主要用于风电机组超长柔性叶片的自动化生产场景，目的是解决传统人工铺层效率低、质量不稳定从而实现高效率、高精度、高一致性的复合材料铺层，大幅提升风电叶片的制造水平和产品质量。</w:t>
      </w:r>
    </w:p>
    <w:p w14:paraId="572CE7D2" w14:textId="77777777" w:rsidR="00B56E05" w:rsidRPr="00C15456"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2 </w:t>
      </w:r>
      <w:r w:rsidRPr="005E3B30">
        <w:rPr>
          <w:rFonts w:ascii="仿宋_GB2312" w:eastAsia="仿宋_GB2312" w:hint="eastAsia"/>
          <w:b/>
          <w:sz w:val="28"/>
          <w:szCs w:val="30"/>
        </w:rPr>
        <w:t>请描述本发明的背景技术</w:t>
      </w:r>
      <w:r>
        <w:rPr>
          <w:rFonts w:ascii="仿宋_GB2312" w:eastAsia="仿宋_GB2312" w:hint="eastAsia"/>
          <w:b/>
          <w:sz w:val="28"/>
          <w:szCs w:val="30"/>
        </w:rPr>
        <w:t>(</w:t>
      </w:r>
      <w:r w:rsidRPr="00C15456">
        <w:rPr>
          <w:rFonts w:ascii="仿宋_GB2312" w:eastAsia="仿宋_GB2312" w:hint="eastAsia"/>
          <w:b/>
          <w:bCs/>
          <w:sz w:val="28"/>
          <w:szCs w:val="30"/>
        </w:rPr>
        <w:t>现有技术及其缺点</w:t>
      </w:r>
      <w:r>
        <w:rPr>
          <w:rFonts w:ascii="仿宋_GB2312" w:eastAsia="仿宋_GB2312" w:hint="eastAsia"/>
          <w:b/>
          <w:sz w:val="28"/>
          <w:szCs w:val="30"/>
        </w:rPr>
        <w:t>)</w:t>
      </w:r>
    </w:p>
    <w:p w14:paraId="67173ACA" w14:textId="19B94F37" w:rsidR="00785D64"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随着全球对可再生能源需求的不断增长，风力发电已成为重要的能源支柱。为了提高风力发电效率并降低度电成本，风电机组的叶片尺寸正变得越来越大、越来越长</w:t>
      </w:r>
      <w:r>
        <w:rPr>
          <w:rFonts w:ascii="仿宋_GB2312" w:eastAsia="仿宋_GB2312" w:hint="eastAsia"/>
          <w:sz w:val="28"/>
          <w:szCs w:val="30"/>
        </w:rPr>
        <w:t>并且柔性也在不断增加</w:t>
      </w:r>
      <w:r w:rsidRPr="00785D64">
        <w:rPr>
          <w:rFonts w:ascii="仿宋_GB2312" w:eastAsia="仿宋_GB2312" w:hint="eastAsia"/>
          <w:sz w:val="28"/>
          <w:szCs w:val="30"/>
        </w:rPr>
        <w:t>。这种“长柔叶片”的设计虽然在气动性能和捕风能力上具有显著优势，但其制造过程</w:t>
      </w:r>
      <w:r>
        <w:rPr>
          <w:rFonts w:ascii="仿宋_GB2312" w:eastAsia="仿宋_GB2312" w:hint="eastAsia"/>
          <w:sz w:val="28"/>
          <w:szCs w:val="30"/>
        </w:rPr>
        <w:t>和质量的可控性上有</w:t>
      </w:r>
      <w:r w:rsidRPr="00785D64">
        <w:rPr>
          <w:rFonts w:ascii="仿宋_GB2312" w:eastAsia="仿宋_GB2312" w:hint="eastAsia"/>
          <w:sz w:val="28"/>
          <w:szCs w:val="30"/>
        </w:rPr>
        <w:t>着前所未有的挑战。</w:t>
      </w:r>
    </w:p>
    <w:p w14:paraId="04655F3C" w14:textId="7A0E22A8" w:rsidR="00785D64" w:rsidRPr="00A36AF8" w:rsidRDefault="00785D64" w:rsidP="00B56E05">
      <w:pPr>
        <w:pStyle w:val="af5"/>
        <w:snapToGrid w:val="0"/>
        <w:spacing w:line="560" w:lineRule="exact"/>
        <w:ind w:firstLineChars="200" w:firstLine="560"/>
        <w:jc w:val="both"/>
        <w:rPr>
          <w:rFonts w:ascii="仿宋_GB2312" w:eastAsia="仿宋_GB2312"/>
          <w:sz w:val="28"/>
          <w:szCs w:val="30"/>
        </w:rPr>
      </w:pPr>
      <w:r w:rsidRPr="00785D64">
        <w:rPr>
          <w:rFonts w:ascii="仿宋_GB2312" w:eastAsia="仿宋_GB2312" w:hint="eastAsia"/>
          <w:sz w:val="28"/>
          <w:szCs w:val="30"/>
        </w:rPr>
        <w:t>人工铺层方法是目前风电叶片制造中最为普遍的方式。工人根据铺层图</w:t>
      </w:r>
      <w:r w:rsidRPr="00785D64">
        <w:rPr>
          <w:rFonts w:ascii="仿宋_GB2312" w:eastAsia="仿宋_GB2312"/>
          <w:sz w:val="28"/>
          <w:szCs w:val="30"/>
        </w:rPr>
        <w:t>切割、搬运、定位和压实复合材料。</w:t>
      </w:r>
      <w:r>
        <w:rPr>
          <w:rFonts w:ascii="仿宋_GB2312" w:eastAsia="仿宋_GB2312" w:hint="eastAsia"/>
          <w:sz w:val="28"/>
          <w:szCs w:val="30"/>
        </w:rPr>
        <w:t>人工铺层方法存在以下缺点：</w:t>
      </w:r>
      <w:r w:rsidRPr="00785D64">
        <w:rPr>
          <w:rFonts w:ascii="仿宋_GB2312" w:eastAsia="仿宋_GB2312" w:hint="eastAsia"/>
          <w:sz w:val="28"/>
          <w:szCs w:val="30"/>
        </w:rPr>
        <w:t>效率低下，劳动强度大：</w:t>
      </w:r>
      <w:r w:rsidRPr="00785D64">
        <w:rPr>
          <w:rFonts w:ascii="仿宋_GB2312" w:eastAsia="仿宋_GB2312"/>
          <w:sz w:val="28"/>
          <w:szCs w:val="30"/>
        </w:rPr>
        <w:t xml:space="preserve"> 随着叶片长度的增加（目前已超过百米），铺层面积巨大，</w:t>
      </w:r>
      <w:r>
        <w:rPr>
          <w:rFonts w:ascii="仿宋_GB2312" w:eastAsia="仿宋_GB2312" w:hint="eastAsia"/>
          <w:sz w:val="28"/>
          <w:szCs w:val="30"/>
        </w:rPr>
        <w:t>往往一只叶片需要几十个</w:t>
      </w:r>
      <w:r w:rsidR="00506196" w:rsidRPr="00506196">
        <w:rPr>
          <w:rFonts w:ascii="仿宋_GB2312" w:eastAsia="仿宋_GB2312" w:hint="eastAsia"/>
          <w:sz w:val="28"/>
          <w:szCs w:val="30"/>
        </w:rPr>
        <w:t>熟练</w:t>
      </w:r>
      <w:r w:rsidR="00506196">
        <w:rPr>
          <w:rFonts w:ascii="仿宋_GB2312" w:eastAsia="仿宋_GB2312" w:hint="eastAsia"/>
          <w:sz w:val="28"/>
          <w:szCs w:val="30"/>
        </w:rPr>
        <w:t>工人</w:t>
      </w:r>
      <w:r w:rsidRPr="00785D64">
        <w:rPr>
          <w:rFonts w:ascii="仿宋_GB2312" w:eastAsia="仿宋_GB2312"/>
          <w:sz w:val="28"/>
          <w:szCs w:val="30"/>
        </w:rPr>
        <w:t>长时间作业，生产周期长，人工成本高昂。</w:t>
      </w:r>
      <w:r w:rsidRPr="00785D64">
        <w:rPr>
          <w:rFonts w:ascii="仿宋_GB2312" w:eastAsia="仿宋_GB2312" w:hint="eastAsia"/>
          <w:sz w:val="28"/>
          <w:szCs w:val="30"/>
        </w:rPr>
        <w:t>质量一致性差，易受人为因素影响：</w:t>
      </w:r>
      <w:r w:rsidRPr="00785D64">
        <w:rPr>
          <w:rFonts w:ascii="仿宋_GB2312" w:eastAsia="仿宋_GB2312"/>
          <w:sz w:val="28"/>
          <w:szCs w:val="30"/>
        </w:rPr>
        <w:t xml:space="preserve"> 铺层质量高度依赖于工人的技能、经验和疲劳程度。在铺设过程中，容易出现纤维方向偏差、搭接不准确、褶皱、气泡、空隙率不均等问题，导致叶片内部缺陷，严重影响叶片的结构强度、疲劳寿命和气动性能。</w:t>
      </w:r>
      <w:r w:rsidR="00506196" w:rsidRPr="00506196">
        <w:rPr>
          <w:rFonts w:ascii="仿宋_GB2312" w:eastAsia="仿宋_GB2312" w:hint="eastAsia"/>
          <w:sz w:val="28"/>
          <w:szCs w:val="30"/>
        </w:rPr>
        <w:t>精度难以保证：</w:t>
      </w:r>
      <w:r w:rsidR="00506196" w:rsidRPr="00506196">
        <w:rPr>
          <w:rFonts w:ascii="仿宋_GB2312" w:eastAsia="仿宋_GB2312"/>
          <w:sz w:val="28"/>
          <w:szCs w:val="30"/>
        </w:rPr>
        <w:t xml:space="preserve"> 对于超长叶片和复杂曲面，人工很难精确控制每一层材料的定位、张力和压实，导致几何精度和重复性差。</w:t>
      </w:r>
      <w:r w:rsidR="00506196" w:rsidRPr="00506196">
        <w:rPr>
          <w:rFonts w:ascii="仿宋_GB2312" w:eastAsia="仿宋_GB2312" w:hint="eastAsia"/>
          <w:sz w:val="28"/>
          <w:szCs w:val="30"/>
        </w:rPr>
        <w:t>工作环境恶劣，安全风险高：</w:t>
      </w:r>
      <w:r w:rsidR="00506196" w:rsidRPr="00506196">
        <w:rPr>
          <w:rFonts w:ascii="仿宋_GB2312" w:eastAsia="仿宋_GB2312"/>
          <w:sz w:val="28"/>
          <w:szCs w:val="30"/>
        </w:rPr>
        <w:t xml:space="preserve"> 工人需长时间接触复合材料和树脂，存在健康风险。在大型模具内部或高空作业，也存在安全隐患</w:t>
      </w:r>
      <w:r w:rsidR="00506196">
        <w:rPr>
          <w:rFonts w:ascii="仿宋_GB2312" w:eastAsia="仿宋_GB2312" w:hint="eastAsia"/>
          <w:sz w:val="28"/>
          <w:szCs w:val="30"/>
        </w:rPr>
        <w:t>。</w:t>
      </w:r>
    </w:p>
    <w:p w14:paraId="04489CF1" w14:textId="77777777" w:rsidR="00B56E05" w:rsidRPr="00A36AF8" w:rsidRDefault="00B56E05" w:rsidP="00B56E05">
      <w:pPr>
        <w:pStyle w:val="af5"/>
        <w:snapToGrid w:val="0"/>
        <w:spacing w:line="560" w:lineRule="exact"/>
        <w:ind w:firstLineChars="200" w:firstLine="560"/>
        <w:jc w:val="both"/>
        <w:rPr>
          <w:rFonts w:ascii="仿宋_GB2312" w:eastAsia="仿宋_GB2312"/>
          <w:sz w:val="28"/>
          <w:szCs w:val="30"/>
        </w:rPr>
      </w:pPr>
    </w:p>
    <w:p w14:paraId="07166B54" w14:textId="13D3F02A" w:rsidR="00032E46" w:rsidRPr="009519BF" w:rsidRDefault="00B56E05" w:rsidP="009519BF">
      <w:pPr>
        <w:pStyle w:val="af5"/>
        <w:snapToGrid w:val="0"/>
        <w:spacing w:beforeLines="50" w:before="156" w:afterLines="50" w:after="156" w:line="360" w:lineRule="exact"/>
        <w:jc w:val="both"/>
        <w:rPr>
          <w:rFonts w:ascii="仿宋_GB2312" w:eastAsia="仿宋_GB2312" w:hint="eastAsia"/>
          <w:b/>
          <w:sz w:val="28"/>
          <w:szCs w:val="30"/>
        </w:rPr>
      </w:pPr>
      <w:r w:rsidRPr="002C025A">
        <w:rPr>
          <w:rFonts w:ascii="仿宋_GB2312" w:eastAsia="仿宋_GB2312"/>
          <w:b/>
          <w:sz w:val="28"/>
          <w:szCs w:val="30"/>
        </w:rPr>
        <w:lastRenderedPageBreak/>
        <w:t xml:space="preserve">3 </w:t>
      </w:r>
      <w:r w:rsidRPr="002C025A">
        <w:rPr>
          <w:rFonts w:ascii="仿宋_GB2312" w:eastAsia="仿宋_GB2312" w:hint="eastAsia"/>
          <w:b/>
          <w:sz w:val="28"/>
          <w:szCs w:val="30"/>
        </w:rPr>
        <w:t>请详细描述本发明的设计动机或初衷（为什么会有这个方案）</w:t>
      </w:r>
    </w:p>
    <w:p w14:paraId="258C9890" w14:textId="6C440F89" w:rsid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本发明</w:t>
      </w:r>
      <w:r w:rsidRPr="00032E46">
        <w:rPr>
          <w:rFonts w:ascii="仿宋_GB2312" w:eastAsia="仿宋_GB2312"/>
          <w:sz w:val="28"/>
          <w:szCs w:val="30"/>
        </w:rPr>
        <w:t>的构思，</w:t>
      </w:r>
      <w:r>
        <w:rPr>
          <w:rFonts w:ascii="仿宋_GB2312" w:eastAsia="仿宋_GB2312" w:hint="eastAsia"/>
          <w:sz w:val="28"/>
          <w:szCs w:val="30"/>
        </w:rPr>
        <w:t>是为了解决</w:t>
      </w:r>
      <w:r w:rsidRPr="00032E46">
        <w:rPr>
          <w:rFonts w:ascii="仿宋_GB2312" w:eastAsia="仿宋_GB2312"/>
          <w:sz w:val="28"/>
          <w:szCs w:val="30"/>
        </w:rPr>
        <w:t>风电机组叶片，特别是超长、柔性叶片制造过程中</w:t>
      </w:r>
      <w:r>
        <w:rPr>
          <w:rFonts w:ascii="仿宋_GB2312" w:eastAsia="仿宋_GB2312" w:hint="eastAsia"/>
          <w:sz w:val="28"/>
          <w:szCs w:val="30"/>
        </w:rPr>
        <w:t>大量人工制作，自动化程度低，维持产品质量一致性难度大</w:t>
      </w:r>
      <w:r w:rsidRPr="00032E46">
        <w:rPr>
          <w:rFonts w:ascii="仿宋_GB2312" w:eastAsia="仿宋_GB2312"/>
          <w:sz w:val="28"/>
          <w:szCs w:val="30"/>
        </w:rPr>
        <w:t>核心痛点。</w:t>
      </w:r>
    </w:p>
    <w:p w14:paraId="604F06D3" w14:textId="5A6E2949" w:rsid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hint="eastAsia"/>
          <w:sz w:val="28"/>
          <w:szCs w:val="30"/>
        </w:rPr>
        <w:t>目前，百米级风电叶片的复合材料铺层仍高度依赖人工。工人需要手动从卷筒上取下大面积的预浸料或干纤维布，进行裁剪、搬运、在巨大且弯曲的模具内定位、铺设、并用刮板或滚筒压实。整个过程耗时耗力，一个叶片通常需要数十名工人连续作业数天甚至数周才能完成。这导致了生产效率低下，生产周期长，且对熟练技工的需求量大，人工成本居高不下。</w:t>
      </w:r>
    </w:p>
    <w:p w14:paraId="2D20133E" w14:textId="01AE8340" w:rsidR="00032E46" w:rsidRPr="00032E46" w:rsidRDefault="00032E46" w:rsidP="009519BF">
      <w:pPr>
        <w:pStyle w:val="af5"/>
        <w:snapToGrid w:val="0"/>
        <w:spacing w:line="560" w:lineRule="exact"/>
        <w:ind w:firstLineChars="200" w:firstLine="560"/>
        <w:jc w:val="both"/>
        <w:rPr>
          <w:rFonts w:ascii="仿宋_GB2312" w:eastAsia="仿宋_GB2312"/>
          <w:sz w:val="28"/>
          <w:szCs w:val="30"/>
        </w:rPr>
      </w:pPr>
      <w:r w:rsidRPr="00032E46">
        <w:rPr>
          <w:rFonts w:ascii="仿宋_GB2312" w:eastAsia="仿宋_GB2312"/>
          <w:sz w:val="28"/>
          <w:szCs w:val="30"/>
        </w:rPr>
        <w:t>铺层质量高度依赖于工人的经验、技能和即时状态。不同工人、同一工人在不同时间，其铺设的力度、角度、材料张力、搭接精度都可能存在差异。这直接导致叶片内部的纤维方向、树脂含量、空隙率等关键参数不一致，造成不同叶片之间、甚至同一叶片不同区域的力学性能和气动性能差异，严重影响叶片的可靠性、疲劳寿命和发电效率。</w:t>
      </w:r>
    </w:p>
    <w:p w14:paraId="1B15749E" w14:textId="4970E725" w:rsidR="00B56E05" w:rsidRPr="009519BF" w:rsidRDefault="00032E46" w:rsidP="009519BF">
      <w:pPr>
        <w:pStyle w:val="af5"/>
        <w:snapToGrid w:val="0"/>
        <w:spacing w:line="560" w:lineRule="exact"/>
        <w:ind w:firstLineChars="200" w:firstLine="560"/>
        <w:jc w:val="both"/>
        <w:rPr>
          <w:rFonts w:ascii="仿宋_GB2312" w:eastAsia="仿宋_GB2312" w:hint="eastAsia"/>
          <w:sz w:val="28"/>
          <w:szCs w:val="30"/>
        </w:rPr>
      </w:pPr>
      <w:r w:rsidRPr="00032E46">
        <w:rPr>
          <w:rFonts w:ascii="仿宋_GB2312" w:eastAsia="仿宋_GB2312"/>
          <w:sz w:val="28"/>
          <w:szCs w:val="30"/>
        </w:rPr>
        <w:t>人工铺层过程中，对于材料铺设的精度、缺陷（如气泡、褶皱）的检测和纠正，主要依靠肉眼和经验，缺乏客观、量化的实时反馈和精确的自动纠偏能力。这使得质量问题难以在早期发现和修正，增加了返工率和废品率。</w:t>
      </w:r>
    </w:p>
    <w:p w14:paraId="2127840D"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 xml:space="preserve">4 </w:t>
      </w:r>
      <w:r w:rsidRPr="002C025A">
        <w:rPr>
          <w:rFonts w:ascii="仿宋_GB2312" w:eastAsia="仿宋_GB2312" w:hint="eastAsia"/>
          <w:b/>
          <w:sz w:val="28"/>
          <w:szCs w:val="30"/>
        </w:rPr>
        <w:t>请详细说明本发明的技术方案是如何来做的（发明内容）</w:t>
      </w:r>
    </w:p>
    <w:p w14:paraId="63DBFC2F" w14:textId="28934B78"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本发明提供了一种智能柔性铺层机器人系统，旨在解决风电机组叶片，特别是超长叶片在制造过程中存在的</w:t>
      </w:r>
      <w:r w:rsidRPr="009519BF">
        <w:rPr>
          <w:rFonts w:ascii="仿宋_GB2312" w:eastAsia="仿宋_GB2312"/>
          <w:sz w:val="28"/>
          <w:szCs w:val="30"/>
        </w:rPr>
        <w:t>“</w:t>
      </w:r>
      <w:r w:rsidRPr="009519BF">
        <w:rPr>
          <w:rFonts w:ascii="仿宋_GB2312" w:eastAsia="仿宋_GB2312"/>
          <w:sz w:val="28"/>
          <w:szCs w:val="30"/>
        </w:rPr>
        <w:t>大量人工制作、自动化程度低、维持产品质量一致性难度大</w:t>
      </w:r>
      <w:r w:rsidRPr="009519BF">
        <w:rPr>
          <w:rFonts w:ascii="仿宋_GB2312" w:eastAsia="仿宋_GB2312"/>
          <w:sz w:val="28"/>
          <w:szCs w:val="30"/>
        </w:rPr>
        <w:t>”</w:t>
      </w:r>
      <w:r w:rsidRPr="009519BF">
        <w:rPr>
          <w:rFonts w:ascii="仿宋_GB2312" w:eastAsia="仿宋_GB2312"/>
          <w:sz w:val="28"/>
          <w:szCs w:val="30"/>
        </w:rPr>
        <w:t>等核心痛点。本发明通过集成</w:t>
      </w:r>
      <w:r w:rsidRPr="009519BF">
        <w:rPr>
          <w:rFonts w:ascii="仿宋_GB2312" w:eastAsia="仿宋_GB2312"/>
          <w:sz w:val="28"/>
          <w:szCs w:val="30"/>
        </w:rPr>
        <w:lastRenderedPageBreak/>
        <w:t>创新的自动化材料处理与预备系统、智能多功能铺层末端执行器、超大型龙门式/多机器人协同运动系统，以及智能控制与软件平台，实现了对超长叶片的高效率、高精度、高一致性自动化复合材料铺层。</w:t>
      </w:r>
    </w:p>
    <w:p w14:paraId="649F39A1" w14:textId="55F6B20E"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4.1 总体架构与工作原理</w:t>
      </w:r>
    </w:p>
    <w:p w14:paraId="190A1AB7" w14:textId="64CC5BBF"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图1展示了本发明</w:t>
      </w:r>
      <w:r w:rsidR="009519BF" w:rsidRPr="009519BF">
        <w:rPr>
          <w:rFonts w:ascii="仿宋_GB2312" w:eastAsia="仿宋_GB2312"/>
          <w:sz w:val="28"/>
          <w:szCs w:val="30"/>
        </w:rPr>
        <w:t>智能柔性铺层机器人系统</w:t>
      </w:r>
      <w:r w:rsidRPr="009519BF">
        <w:rPr>
          <w:rFonts w:ascii="仿宋_GB2312" w:eastAsia="仿宋_GB2312"/>
          <w:sz w:val="28"/>
          <w:szCs w:val="30"/>
        </w:rPr>
        <w:t>的整体系统构成。该系统主要包括：自动化材料处理与预备系统（200）、智能多功能铺层末端执行器（300）、 超大型龙门式/多机器人协同运动系统（400） 以及智能控制与软件平台（500）。</w:t>
      </w:r>
    </w:p>
    <w:p w14:paraId="28619869" w14:textId="0AF7367F" w:rsidR="00B56E0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自动化材料处理与预备系统（200） 根据铺层指令，自动化地从材料库中取出复合材料，进行高精度切割、排版、标识和预组装，形成</w:t>
      </w:r>
      <w:r w:rsidRPr="009519BF">
        <w:rPr>
          <w:rFonts w:ascii="仿宋_GB2312" w:eastAsia="仿宋_GB2312"/>
          <w:sz w:val="28"/>
          <w:szCs w:val="30"/>
        </w:rPr>
        <w:t>“</w:t>
      </w:r>
      <w:r w:rsidRPr="009519BF">
        <w:rPr>
          <w:rFonts w:ascii="仿宋_GB2312" w:eastAsia="仿宋_GB2312"/>
          <w:sz w:val="28"/>
          <w:szCs w:val="30"/>
        </w:rPr>
        <w:t>材料包</w:t>
      </w:r>
      <w:r w:rsidRPr="009519BF">
        <w:rPr>
          <w:rFonts w:ascii="仿宋_GB2312" w:eastAsia="仿宋_GB2312"/>
          <w:sz w:val="28"/>
          <w:szCs w:val="30"/>
        </w:rPr>
        <w:t>”</w:t>
      </w:r>
      <w:r w:rsidRPr="009519BF">
        <w:rPr>
          <w:rFonts w:ascii="仿宋_GB2312" w:eastAsia="仿宋_GB2312"/>
          <w:sz w:val="28"/>
          <w:szCs w:val="30"/>
        </w:rPr>
        <w:t>。这些材料包通过内部物流系统（240） 被精确地运送至铺层区域的指定取料位（未编号，但由内部物流系统240精确定位）。接着， 超大型龙门式/多机器人协同运动系统（400） 搭载智能多功能铺层末端执行器（300），按照 智能控制与软件平台（500） 生成的优化路径，移动至取料位，并利用其柔性吸附模块（310）精准抓取材料包中的复合材料片，随后将其铺设到叶片模具上。铺层过程中， 智能多功能铺层末端执行器（300） 利用其集成的视觉传感器和力传感器，实时检测铺层精度和缺陷，并将数据反馈给智能控制与软件平台（500）。 智能控制与软件平台（500）根据反馈信息，进行实时路径修正、压实力度调整和缺陷纠偏，从而确保每一层材料都以高精度、高质量铺设。这种协同工作模式，从材料准备到最终铺设，实现了全流程的自动化与智能化，有效解决了传统人工铺层效率低、质量不一致的难题。</w:t>
      </w:r>
    </w:p>
    <w:p w14:paraId="7B2C4731" w14:textId="48F25484"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 xml:space="preserve">4.2 </w:t>
      </w:r>
      <w:bookmarkStart w:id="0" w:name="OLE_LINK1"/>
      <w:r w:rsidRPr="009519BF">
        <w:rPr>
          <w:rFonts w:ascii="仿宋_GB2312" w:eastAsia="仿宋_GB2312"/>
          <w:sz w:val="28"/>
          <w:szCs w:val="30"/>
        </w:rPr>
        <w:t>自动化材料处理与预备系统</w:t>
      </w:r>
      <w:bookmarkEnd w:id="0"/>
      <w:r w:rsidRPr="009519BF">
        <w:rPr>
          <w:rFonts w:ascii="仿宋_GB2312" w:eastAsia="仿宋_GB2312"/>
          <w:sz w:val="28"/>
          <w:szCs w:val="30"/>
        </w:rPr>
        <w:t>(200)</w:t>
      </w:r>
    </w:p>
    <w:p w14:paraId="33018576" w14:textId="59AB0F6E"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图5展示了自动化材料处理与预备系统（200）的工作流程，主要包括：智能材料库（210）、高精度切割平台（220）、 自动标识与分拣单元（230） 以及内部物流系统（240）。</w:t>
      </w:r>
    </w:p>
    <w:p w14:paraId="1084D392" w14:textId="40EB43C9"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智能材料库（210）： 这是一个具备恒温恒湿环境的自动化立体仓库，用于存储大型复合材料卷筒（如预浸料、干纤维布、胶膜）。自动存取机械臂（211）： 负责根据生产指令，从货架上自动存取指定类型的材料卷。RFID/条码识别系统（212）： 对每个材料卷进行唯一标识和管理，实现材料批次、有效期、库存量的精确追踪。</w:t>
      </w:r>
    </w:p>
    <w:p w14:paraId="46C2155D" w14:textId="13A13681"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高精度切割平台（220）： 接收来自智能材料库（210）的材料卷，并进行高精度切割。大型展平与送料装置（221）： 能够平稳、无张力地将大宽幅材料从卷筒展开并送入切割区域。多功能切割头（222）： 安装在龙门或多轴机器人臂上，可根据材料类型快速切换。例如，可配备激光切割头（适用于干纤维和部分热塑性预浸料）、超声波切割头（适用于热固性预浸料，减少纤维损伤和树脂溢出）或振动刀切割头（适用于较厚或特殊材料）。排版优化软件模块（223）： 集成在智能控制与软件平台（500）中，根据叶片铺层图和材料规格，自动计算最优切割路径，最大限度地提高材料利用率，减少废料。该模块可支持多层材料同时切割。</w:t>
      </w:r>
    </w:p>
    <w:p w14:paraId="17651B4F" w14:textId="2AB4B194"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自动标识与分拣单元（230）： 对切割后的材料片进行处理。自动标识装置（231）： 例如，喷墨打印机或标签打印机，在每片切割好的材料上打印或粘贴包含层号、材料类型、纤维方向、铺设位置等信息的二维码或RFID标签。多关节机器人抓取系统（232）： 配备真</w:t>
      </w:r>
      <w:r w:rsidRPr="009519BF">
        <w:rPr>
          <w:rFonts w:ascii="仿宋_GB2312" w:eastAsia="仿宋_GB2312"/>
          <w:sz w:val="28"/>
          <w:szCs w:val="30"/>
        </w:rPr>
        <w:lastRenderedPageBreak/>
        <w:t>空吸盘或机械抓手，根据标识信息，将切割好的材料片按照精确的铺层顺序和方向进行堆叠，形成</w:t>
      </w:r>
      <w:r w:rsidRPr="009519BF">
        <w:rPr>
          <w:rFonts w:ascii="仿宋_GB2312" w:eastAsia="仿宋_GB2312"/>
          <w:sz w:val="28"/>
          <w:szCs w:val="30"/>
        </w:rPr>
        <w:t>“</w:t>
      </w:r>
      <w:r w:rsidRPr="009519BF">
        <w:rPr>
          <w:rFonts w:ascii="仿宋_GB2312" w:eastAsia="仿宋_GB2312"/>
          <w:sz w:val="28"/>
          <w:szCs w:val="30"/>
        </w:rPr>
        <w:t>即用型</w:t>
      </w:r>
      <w:r w:rsidRPr="009519BF">
        <w:rPr>
          <w:rFonts w:ascii="仿宋_GB2312" w:eastAsia="仿宋_GB2312"/>
          <w:sz w:val="28"/>
          <w:szCs w:val="30"/>
        </w:rPr>
        <w:t>”</w:t>
      </w:r>
      <w:r w:rsidRPr="009519BF">
        <w:rPr>
          <w:rFonts w:ascii="仿宋_GB2312" w:eastAsia="仿宋_GB2312"/>
          <w:sz w:val="28"/>
          <w:szCs w:val="30"/>
        </w:rPr>
        <w:t>的材料包。离型膜剥离装置（233）： 可集成在此单元，在材料片送至铺层前自动剥离预浸料的离型膜，确保材料背面清洁。</w:t>
      </w:r>
    </w:p>
    <w:p w14:paraId="42ECE0F0" w14:textId="11157568" w:rsidR="009D5DE5" w:rsidRPr="009519BF" w:rsidRDefault="009D5DE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内部物流系统（240）： 例如，自动导引车或智能传送带系统，负责将完成预备的材料包，按照生产计划和铺层机器人的需求，精确、及时地送至铺层区域的取料位（241）。取料位（241）： 这是一个预设的、具有高精度定位能力的平台或料盘，用于放置由内部物流系统（240）运送来的材料包。该取料位（241）的位置信息会精确地反馈给智能控制与软件平台（500），以便智能多功能铺层末端执行器（300）能够准确地抓取材料。</w:t>
      </w:r>
    </w:p>
    <w:p w14:paraId="59D9038C" w14:textId="2F0D212F" w:rsidR="009D5DE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4.3 智能多功能铺层末端执行器(300)</w:t>
      </w:r>
    </w:p>
    <w:p w14:paraId="3A08466B" w14:textId="3539A27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图3展示了智能多功能铺层末端执行器（300）的详细结构，它安装在超大型龙门式/多机器人协同运动系统（400）的机器人臂（420）上。</w:t>
      </w:r>
      <w:r w:rsidR="00A2377B" w:rsidRPr="009519BF">
        <w:rPr>
          <w:rFonts w:ascii="仿宋_GB2312" w:eastAsia="仿宋_GB2312"/>
          <w:sz w:val="28"/>
          <w:szCs w:val="30"/>
        </w:rPr>
        <w:t>智能多功能铺层末端执行器</w:t>
      </w:r>
      <w:r w:rsidRPr="009519BF">
        <w:rPr>
          <w:rFonts w:ascii="仿宋_GB2312" w:eastAsia="仿宋_GB2312"/>
          <w:sz w:val="28"/>
          <w:szCs w:val="30"/>
        </w:rPr>
        <w:t>（300）主要包括：柔性吸附模块（310）、自适应压实与滚压模块（320）、实时视觉引导与智能纠偏模块（330）、 在线材料切割与修边模块（340） 以及模块化接口（350）。</w:t>
      </w:r>
    </w:p>
    <w:p w14:paraId="541D0407" w14:textId="4BC193F6"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模块化接口（350）： 作为</w:t>
      </w:r>
      <w:r w:rsidR="009519BF" w:rsidRPr="009519BF">
        <w:rPr>
          <w:rFonts w:ascii="仿宋_GB2312" w:eastAsia="仿宋_GB2312"/>
          <w:sz w:val="28"/>
          <w:szCs w:val="30"/>
        </w:rPr>
        <w:t>智能多功能铺层末端执行器智能多功能铺层末端执行器</w:t>
      </w:r>
      <w:r w:rsidRPr="009519BF">
        <w:rPr>
          <w:rFonts w:ascii="仿宋_GB2312" w:eastAsia="仿宋_GB2312"/>
          <w:sz w:val="28"/>
          <w:szCs w:val="30"/>
        </w:rPr>
        <w:t>（300）与机器人臂（420）的连接点，采用标准化、快速切换的机械和电气接口，允许根据不同的铺层任务（例如，大面积铺设、窄条铺设、边缘处理等）快速更换或组合不同的功能模块。</w:t>
      </w:r>
    </w:p>
    <w:p w14:paraId="12519F4C" w14:textId="65F98BA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柔性吸附模块（310）： 负责材料的抓取和定位。真空吸盘阵列（311）： 由多个可独立控制的真空吸盘组成，能够适应不同尺寸和</w:t>
      </w:r>
      <w:r w:rsidRPr="009519BF">
        <w:rPr>
          <w:rFonts w:ascii="仿宋_GB2312" w:eastAsia="仿宋_GB2312"/>
          <w:sz w:val="28"/>
          <w:szCs w:val="30"/>
        </w:rPr>
        <w:lastRenderedPageBreak/>
        <w:t>曲率的材料表面。吸盘材质采用高耐磨、防粘连的软质材料，确保对材料无损抓取。在接收到智能控制与软件平台（500）发出的抓取指令后，超大型龙门式/多机器人协同运动系统（400）将</w:t>
      </w:r>
      <w:r w:rsidR="00A2377B" w:rsidRPr="009519BF">
        <w:rPr>
          <w:rFonts w:ascii="仿宋_GB2312" w:eastAsia="仿宋_GB2312"/>
          <w:sz w:val="28"/>
          <w:szCs w:val="30"/>
        </w:rPr>
        <w:t>智能多功能铺层末端执行器</w:t>
      </w:r>
      <w:r w:rsidRPr="009519BF">
        <w:rPr>
          <w:rFonts w:ascii="仿宋_GB2312" w:eastAsia="仿宋_GB2312"/>
          <w:sz w:val="28"/>
          <w:szCs w:val="30"/>
        </w:rPr>
        <w:t>（300）精确移动至取料位（241）上方。柔性吸附模块（310）的真空吸盘阵列（311）将根据材料包中最上层材料片的形状和位置信息（由</w:t>
      </w:r>
      <w:r w:rsidR="004E467F" w:rsidRPr="009519BF">
        <w:rPr>
          <w:rFonts w:ascii="仿宋_GB2312" w:eastAsia="仿宋_GB2312"/>
          <w:sz w:val="28"/>
          <w:szCs w:val="30"/>
        </w:rPr>
        <w:t>自动化材料处理与预备系统</w:t>
      </w:r>
      <w:r w:rsidRPr="009519BF">
        <w:rPr>
          <w:rFonts w:ascii="仿宋_GB2312" w:eastAsia="仿宋_GB2312"/>
          <w:sz w:val="28"/>
          <w:szCs w:val="30"/>
        </w:rPr>
        <w:t>提供，并通过</w:t>
      </w:r>
      <w:r w:rsidR="004E467F" w:rsidRPr="009519BF">
        <w:rPr>
          <w:rFonts w:ascii="仿宋_GB2312" w:eastAsia="仿宋_GB2312"/>
          <w:sz w:val="28"/>
          <w:szCs w:val="30"/>
        </w:rPr>
        <w:t>智能控制与软件平台</w:t>
      </w:r>
      <w:r w:rsidRPr="009519BF">
        <w:rPr>
          <w:rFonts w:ascii="仿宋_GB2312" w:eastAsia="仿宋_GB2312"/>
          <w:sz w:val="28"/>
          <w:szCs w:val="30"/>
        </w:rPr>
        <w:t>协调），精准地降落并吸附住该材料片。力传感器阵列（312）： 集成在吸盘下方，实时监测吸附力，确保材料被稳定抓取且不受损。姿态调节机构（313）： 允许吸附模块（310）在一定范围内进行俯仰和偏摆，以适应材料与叶片模具的相对角度。</w:t>
      </w:r>
    </w:p>
    <w:p w14:paraId="4F3C3D60" w14:textId="3C4AA393"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自适应压实与滚压模块（320）： 负责将铺设的材料压实，去除气泡，确保层间良好粘结。柔性压实辊/刷（321）： 采用具有一定柔性的材料（如硅胶、特种橡胶），可根据叶片模具的局部曲率自动调整接触形态。独立伺服驱动机构（322）：控制压实辊/刷（321）的旋转速度和行进速度，并实现精确的压实力度控制。压力传感器（323）： 实时监测压实辊/刷（321）对材料施加的压力，并将数据反馈给智能控制与软件平台（500），实现闭环力控。可选加热装置（324）：可在压实辊/刷（321）内部集成红外或电加热元件，在特定工艺需求下对材料进行局部预热或预固化，提高材料粘结性和去除气泡效果。</w:t>
      </w:r>
    </w:p>
    <w:p w14:paraId="586007BB" w14:textId="686B8793"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实时视觉引导与智能纠偏模块（330）： 这是</w:t>
      </w:r>
      <w:r w:rsidR="004E467F" w:rsidRPr="009519BF">
        <w:rPr>
          <w:rFonts w:ascii="仿宋_GB2312" w:eastAsia="仿宋_GB2312"/>
          <w:sz w:val="28"/>
          <w:szCs w:val="30"/>
        </w:rPr>
        <w:t>智能多功能铺层末端执行器</w:t>
      </w:r>
      <w:r w:rsidRPr="009519BF">
        <w:rPr>
          <w:rFonts w:ascii="仿宋_GB2312" w:eastAsia="仿宋_GB2312"/>
          <w:sz w:val="28"/>
          <w:szCs w:val="30"/>
        </w:rPr>
        <w:t>（300）实现高精度铺层的关键。高分辨率工业相机（331）： 例如，线扫描相机或面阵相机，安装在铺层头前方，实时获取叶片模具表面和已铺设材料的图像。激光扫描仪/结构光投影仪（332）： 辅助相机（331）进行三维轮廓扫描和特征点识别，提高定位精度。图</w:t>
      </w:r>
      <w:r w:rsidRPr="009519BF">
        <w:rPr>
          <w:rFonts w:ascii="仿宋_GB2312" w:eastAsia="仿宋_GB2312"/>
          <w:sz w:val="28"/>
          <w:szCs w:val="30"/>
        </w:rPr>
        <w:lastRenderedPageBreak/>
        <w:t>像处理与识别单元（333）： 集成在智能控制与软件平台（500）中，利用先进的图像处理算法（如边缘检测、特征匹配、缺陷识别算法），实时分析图像数据，精确检测材料边缘、搭接缝隙、铺层位置偏差、褶皱、气泡、纤维走向异常等缺陷。并将偏差信息实时反馈给智能控制与软件平台（500），实现铺层路径的微米级动态调整和纠偏。</w:t>
      </w:r>
    </w:p>
    <w:p w14:paraId="0E711FCA" w14:textId="0D8732AB"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在线材料切割与修边模块（340）：精密切割刀具（341）： 例如，小型超声波刀、激光刀或精密剪切机构，用于在铺层过程中对材料进行局部修剪、开孔或精确对齐边缘，避免返工和提高效率。该刀具通过独立伺服电机驱动，实现高精度切割。</w:t>
      </w:r>
    </w:p>
    <w:p w14:paraId="68344B9C" w14:textId="44EDF0CC" w:rsidR="003A6565" w:rsidRPr="009519BF" w:rsidRDefault="003A6565"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4.4 超大型龙门式/多机器人协同运动系统(400)</w:t>
      </w:r>
    </w:p>
    <w:p w14:paraId="221C6339" w14:textId="5598F631"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图4展示了超大型龙门式/多机器人协同运动系统（400）的整体结构，它包括：超长龙门框架（410）、多个多轴机器人臂（420）、 高精度传动与导轨系统（430） 以及安全防护系统（440）。</w:t>
      </w:r>
    </w:p>
    <w:p w14:paraId="680138A7" w14:textId="773BA4DD"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超长龙门框架（410）： 这是一个横跨整个叶片模具长度（可达百米）和宽度的刚性龙门结构。立柱（411）： 支撑龙门桥架（412），沿叶片长度方向布置在工作区域两侧。龙门桥架（412）：横跨在立柱（411）之间，是机器人臂（420）的移动载体。</w:t>
      </w:r>
    </w:p>
    <w:p w14:paraId="701911C1" w14:textId="46309B8F"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多个多轴机器人臂（420）：至少一个，优选多个工业级高精度多轴机器人臂（例如，六轴或七轴机器人），安装在龙门桥架（412）上。每个机器人臂（420）末端连接智能多功能铺层末端执行器（300）。优势： 多个机器人臂（420）可以通过智能控制与软件平台（500）进行高精度同步和路径协同，共同完成铺层任务，每个机器人负责特定区域或任务，显著提高铺层效率。</w:t>
      </w:r>
    </w:p>
    <w:p w14:paraId="71ABD566" w14:textId="31F24759"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高精度传动与导轨系统（430）：确保龙门框架（410）和机器人臂（420）运动的平稳性、定位精度和重复定位精度。龙门X轴传动系统（431）： 驱动整个龙门框架（410）沿叶片长度方向（X轴）移动，通常采用高精度直线电机或带有精密减速器的齿轮齿条传动，配合高精度光栅尺或编码器进行位置反馈。机器人Y/Z轴传动系统（432）： 驱动机器人臂（420）在龙门桥架（412）上沿叶片宽度方向（Y轴）和高度方向（Z轴）移动，同样采用高精度伺服电机和导轨系统。高刚度导轨（433）：支撑龙门框架（410）和机器人臂（420）的运动，确保在超长距离下仍能保持高精度和高稳定性。</w:t>
      </w:r>
    </w:p>
    <w:p w14:paraId="795A7FF6" w14:textId="78F2007D"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安全防护系统（440）： 包括安全光栅、紧急停止按钮、区域扫描仪等，确保操作人员和设备的安全。当系统检测到人员进入危险区域或异常情况时，能立即停止运行。</w:t>
      </w:r>
    </w:p>
    <w:p w14:paraId="3B3372AA" w14:textId="63113309" w:rsidR="003A6565"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4.5 智能控制与软件平台(500)</w:t>
      </w:r>
    </w:p>
    <w:p w14:paraId="6A3F5138" w14:textId="15F2F89B"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图6展示了智能控制与软件平台（500）的数据流和主要功能模块，它作为</w:t>
      </w:r>
      <w:r w:rsidR="004E467F" w:rsidRPr="009519BF">
        <w:rPr>
          <w:rFonts w:ascii="仿宋_GB2312" w:eastAsia="仿宋_GB2312"/>
          <w:sz w:val="28"/>
          <w:szCs w:val="30"/>
        </w:rPr>
        <w:t>智能柔性铺层机器人系统的整体系统</w:t>
      </w:r>
      <w:r w:rsidRPr="009519BF">
        <w:rPr>
          <w:rFonts w:ascii="仿宋_GB2312" w:eastAsia="仿宋_GB2312"/>
          <w:sz w:val="28"/>
          <w:szCs w:val="30"/>
        </w:rPr>
        <w:t>的</w:t>
      </w:r>
      <w:r w:rsidRPr="009519BF">
        <w:rPr>
          <w:rFonts w:ascii="仿宋_GB2312" w:eastAsia="仿宋_GB2312"/>
          <w:sz w:val="28"/>
          <w:szCs w:val="30"/>
        </w:rPr>
        <w:t>“</w:t>
      </w:r>
      <w:r w:rsidRPr="009519BF">
        <w:rPr>
          <w:rFonts w:ascii="仿宋_GB2312" w:eastAsia="仿宋_GB2312"/>
          <w:sz w:val="28"/>
          <w:szCs w:val="30"/>
        </w:rPr>
        <w:t>大脑</w:t>
      </w:r>
      <w:r w:rsidRPr="009519BF">
        <w:rPr>
          <w:rFonts w:ascii="仿宋_GB2312" w:eastAsia="仿宋_GB2312"/>
          <w:sz w:val="28"/>
          <w:szCs w:val="30"/>
        </w:rPr>
        <w:t>”</w:t>
      </w:r>
      <w:r w:rsidRPr="009519BF">
        <w:rPr>
          <w:rFonts w:ascii="仿宋_GB2312" w:eastAsia="仿宋_GB2312"/>
          <w:sz w:val="28"/>
          <w:szCs w:val="30"/>
        </w:rPr>
        <w:t>，贯穿于整个系统的运行。</w:t>
      </w:r>
      <w:r w:rsidR="004E467F" w:rsidRPr="009519BF">
        <w:rPr>
          <w:rFonts w:ascii="仿宋_GB2312" w:eastAsia="仿宋_GB2312"/>
          <w:sz w:val="28"/>
          <w:szCs w:val="30"/>
        </w:rPr>
        <w:t>智能控制与软件平台</w:t>
      </w:r>
      <w:r w:rsidRPr="009519BF">
        <w:rPr>
          <w:rFonts w:ascii="仿宋_GB2312" w:eastAsia="仿宋_GB2312"/>
          <w:sz w:val="28"/>
          <w:szCs w:val="30"/>
        </w:rPr>
        <w:t>（500）主要包括：CAD/CAM一体化与路径规划模块（510）、实时反馈与自适应控制模块（520）、人机交互界面模块（530）、 数据管理与追溯模块（540） 以及系统集成接口（550）。图6展示了智能控制与软件平台（500）的数据流和主要功能模块，它作为</w:t>
      </w:r>
      <w:r w:rsidR="004E467F" w:rsidRPr="009519BF">
        <w:rPr>
          <w:rFonts w:ascii="仿宋_GB2312" w:eastAsia="仿宋_GB2312"/>
          <w:sz w:val="28"/>
          <w:szCs w:val="30"/>
        </w:rPr>
        <w:t>智能柔性铺层机器人系统的整体系统</w:t>
      </w:r>
      <w:r w:rsidRPr="009519BF">
        <w:rPr>
          <w:rFonts w:ascii="仿宋_GB2312" w:eastAsia="仿宋_GB2312"/>
          <w:sz w:val="28"/>
          <w:szCs w:val="30"/>
        </w:rPr>
        <w:t>的</w:t>
      </w:r>
      <w:r w:rsidRPr="009519BF">
        <w:rPr>
          <w:rFonts w:ascii="仿宋_GB2312" w:eastAsia="仿宋_GB2312"/>
          <w:sz w:val="28"/>
          <w:szCs w:val="30"/>
        </w:rPr>
        <w:t>“</w:t>
      </w:r>
      <w:r w:rsidRPr="009519BF">
        <w:rPr>
          <w:rFonts w:ascii="仿宋_GB2312" w:eastAsia="仿宋_GB2312"/>
          <w:sz w:val="28"/>
          <w:szCs w:val="30"/>
        </w:rPr>
        <w:t>大脑</w:t>
      </w:r>
      <w:r w:rsidRPr="009519BF">
        <w:rPr>
          <w:rFonts w:ascii="仿宋_GB2312" w:eastAsia="仿宋_GB2312"/>
          <w:sz w:val="28"/>
          <w:szCs w:val="30"/>
        </w:rPr>
        <w:t>”</w:t>
      </w:r>
      <w:r w:rsidRPr="009519BF">
        <w:rPr>
          <w:rFonts w:ascii="仿宋_GB2312" w:eastAsia="仿宋_GB2312"/>
          <w:sz w:val="28"/>
          <w:szCs w:val="30"/>
        </w:rPr>
        <w:t>，贯穿于整个系统的运行。</w:t>
      </w:r>
      <w:r w:rsidR="004E467F" w:rsidRPr="009519BF">
        <w:rPr>
          <w:rFonts w:ascii="仿宋_GB2312" w:eastAsia="仿宋_GB2312"/>
          <w:sz w:val="28"/>
          <w:szCs w:val="30"/>
        </w:rPr>
        <w:t>智能控制与软件平台</w:t>
      </w:r>
      <w:r w:rsidRPr="009519BF">
        <w:rPr>
          <w:rFonts w:ascii="仿宋_GB2312" w:eastAsia="仿宋_GB2312"/>
          <w:sz w:val="28"/>
          <w:szCs w:val="30"/>
        </w:rPr>
        <w:t>（500）主要包括：CAD/CAM一体化与路径规划模块（510）、实时反馈与自适应控制模块（520）、人机交互界面模块（530）、 数据管理与追溯模块（540） 以及系统集成接口（550）。</w:t>
      </w:r>
    </w:p>
    <w:p w14:paraId="03C67FDC" w14:textId="11F6DE24"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lastRenderedPageBreak/>
        <w:t>CAD/CAM一体化与路径规划模块（510）：数据导入与处理（511）： 能够直接导入叶片的三维CAD模型、复合材料铺层图（包含各层材料类型、纤维方向、铺设区域、搭接要求等详细信息）和制造公差。铺层路径生成与优化（512）： 基于导入数据，自动生成智能多功能铺层末端执行器（300）的运动轨迹、工具姿态、压实力度、铺层速度、材料抓取和切割指令等所有详细参数。该模块集成先进的铺层路径优化算法，考虑材料特性、叶片曲率、机器人运动学约束，实现铺层效率最大化、材料利用率最大化和铺层质量最优。离线编程与仿真（513）： 提供虚拟调试环境，在实际铺层前对生成的路径进行仿真，提前发现并解决潜在的干涉、碰撞和工艺问题，大大缩短调试时间。</w:t>
      </w:r>
    </w:p>
    <w:p w14:paraId="74A1E4F5" w14:textId="62E81022"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实时反馈与自适应控制模块（520）： 这是</w:t>
      </w:r>
      <w:r w:rsidR="00CA4484" w:rsidRPr="009519BF">
        <w:rPr>
          <w:rFonts w:ascii="仿宋_GB2312" w:eastAsia="仿宋_GB2312"/>
          <w:sz w:val="28"/>
          <w:szCs w:val="30"/>
        </w:rPr>
        <w:t>智能控制与软件平台</w:t>
      </w:r>
      <w:r w:rsidRPr="009519BF">
        <w:rPr>
          <w:rFonts w:ascii="仿宋_GB2312" w:eastAsia="仿宋_GB2312"/>
          <w:sz w:val="28"/>
          <w:szCs w:val="30"/>
        </w:rPr>
        <w:t>（500）实现智能化的核心。多传感器数据融合（521）： 实时接收并融合来自智能多功能铺层末端执行器（300）的力传感器（312, 323）、高分辨率工业相机（331）、激光扫描仪（332）数据，以及超大型龙门式/多机器人协同运动系统（400）的位置、速度编码器数据。闭环控制与动态纠偏（522）： 基于融合后的实时数据，通过先进的控制算法（如PID控制、模糊控制、自适应控制），对超大型龙门式/多机器人协同运动系统（400）的运动、智能多功能铺层末端执行器（300）的铺层压力、温度等参数进行闭环实时控制。当实时视觉引导与智能纠偏模块（330）检测到铺层偏差、褶皱、气泡等缺陷时，该模块能够立即调整机器人路径、速度或压实参数进行纠偏，确保铺层精度始终在公差范围内。材料抓取与铺设协调（523）： 精确协调自动化材料处理与预备系统（200）的内部物流系统（240）将材料包送至取料位（241）的时间和位置，并指令智能多功能铺层末端执行器（300）精</w:t>
      </w:r>
      <w:r w:rsidRPr="009519BF">
        <w:rPr>
          <w:rFonts w:ascii="仿宋_GB2312" w:eastAsia="仿宋_GB2312"/>
          <w:sz w:val="28"/>
          <w:szCs w:val="30"/>
        </w:rPr>
        <w:lastRenderedPageBreak/>
        <w:t>确移动至取料位（241）进行材料抓取。</w:t>
      </w:r>
    </w:p>
    <w:p w14:paraId="3F1E85D8" w14:textId="219DB717"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人机交互界面模块（530）：三维可视化（531）： 提供直观友好的三维图形用户界面，实时显示铺层进度、机器人状态、传感器数据、缺陷位置和类型、材料消耗等信息。操作与监控（532）： 支持拖拽式编程、手动示教、程序编辑、故障诊断和远程监控功能，方便操作人员进行管理和干预。报警与日志管理（533）： 提供详细的系统运行日志记录和报警管理功能，便于故障排查和性能优化。</w:t>
      </w:r>
    </w:p>
    <w:p w14:paraId="3FD811F6" w14:textId="1C54FA59" w:rsidR="00576CDF" w:rsidRPr="009519BF" w:rsidRDefault="00576CDF" w:rsidP="009519BF">
      <w:pPr>
        <w:pStyle w:val="af5"/>
        <w:snapToGrid w:val="0"/>
        <w:spacing w:beforeLines="50" w:before="156" w:afterLines="50" w:after="156" w:line="560" w:lineRule="exact"/>
        <w:ind w:firstLineChars="200" w:firstLine="560"/>
        <w:jc w:val="both"/>
        <w:rPr>
          <w:rFonts w:ascii="仿宋_GB2312" w:eastAsia="仿宋_GB2312"/>
          <w:sz w:val="28"/>
          <w:szCs w:val="30"/>
        </w:rPr>
      </w:pPr>
      <w:r w:rsidRPr="009519BF">
        <w:rPr>
          <w:rFonts w:ascii="仿宋_GB2312" w:eastAsia="仿宋_GB2312"/>
          <w:sz w:val="28"/>
          <w:szCs w:val="30"/>
        </w:rPr>
        <w:t>数据管理与追溯模块（540）：全流程数据记录（541）：全面记录每个叶片的铺层过程数据，包括材料批次、环境参数（温湿度）、铺层参数（速度、压力、温度）、缺陷位置和类型、纠偏记录、操作日志等，构建完整的数字孪生档案。质量追溯（542）：实现生产过程的全面追溯，满足航空航天和风电行业严苛的质量认证要求，为产品质量分析和责任追溯提供依据。工艺优化（543）：通过对历史数据的分析，为工艺参数的优化和生产效率的提升提供数据支持。</w:t>
      </w:r>
    </w:p>
    <w:p w14:paraId="7BD87CF4" w14:textId="77777777" w:rsidR="00576CDF" w:rsidRPr="00576CDF" w:rsidRDefault="00576CDF"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2D384506"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7CA94CA7" w14:textId="77777777" w:rsidR="003A656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0DC6050" w14:textId="77777777" w:rsidR="003A6565" w:rsidRPr="009D5DE5" w:rsidRDefault="003A656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36793C9B" w14:textId="77777777" w:rsidR="009D5DE5" w:rsidRPr="009D5DE5"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50AA7DE6" w14:textId="77777777" w:rsidR="009D5DE5" w:rsidRPr="008554FD" w:rsidRDefault="009D5DE5" w:rsidP="00B56E05">
      <w:pPr>
        <w:pStyle w:val="af5"/>
        <w:snapToGrid w:val="0"/>
        <w:spacing w:beforeLines="50" w:before="156" w:afterLines="50" w:after="156" w:line="560" w:lineRule="exact"/>
        <w:ind w:firstLineChars="200" w:firstLine="560"/>
        <w:rPr>
          <w:rFonts w:ascii="仿宋_GB2312" w:eastAsia="仿宋_GB2312"/>
          <w:sz w:val="28"/>
          <w:szCs w:val="30"/>
        </w:rPr>
      </w:pPr>
    </w:p>
    <w:p w14:paraId="4320C06C" w14:textId="77777777" w:rsidR="00B56E05" w:rsidRPr="0043527D" w:rsidRDefault="00B56E05" w:rsidP="00B56E05">
      <w:pPr>
        <w:pStyle w:val="af5"/>
        <w:snapToGrid w:val="0"/>
        <w:spacing w:beforeLines="50" w:before="156" w:afterLines="50" w:after="156" w:line="360" w:lineRule="exact"/>
        <w:jc w:val="both"/>
        <w:rPr>
          <w:rFonts w:ascii="仿宋_GB2312" w:eastAsia="仿宋_GB2312"/>
          <w:b/>
          <w:sz w:val="28"/>
          <w:szCs w:val="30"/>
        </w:rPr>
      </w:pPr>
      <w:r w:rsidRPr="002C025A">
        <w:rPr>
          <w:rFonts w:ascii="仿宋_GB2312" w:eastAsia="仿宋_GB2312"/>
          <w:b/>
          <w:sz w:val="28"/>
          <w:szCs w:val="30"/>
        </w:rPr>
        <w:t>5 现有技术相比，本发明有何优点</w:t>
      </w:r>
    </w:p>
    <w:p w14:paraId="5A82C5A0"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5.1 结合技术方案来描述，做到有理有据，即用推理或因果关</w:t>
      </w:r>
      <w:r w:rsidRPr="009F439A">
        <w:rPr>
          <w:rFonts w:ascii="仿宋_GB2312" w:eastAsia="仿宋_GB2312"/>
          <w:sz w:val="28"/>
          <w:szCs w:val="30"/>
        </w:rPr>
        <w:lastRenderedPageBreak/>
        <w:t>系的方式推理说明；</w:t>
      </w:r>
      <w:r w:rsidRPr="009F439A">
        <w:rPr>
          <w:rFonts w:ascii="仿宋_GB2312" w:eastAsia="仿宋_GB2312" w:hint="eastAsia"/>
          <w:sz w:val="28"/>
          <w:szCs w:val="30"/>
        </w:rPr>
        <w:t>突出设备中哪个部件是发明点所涉及的，作用是什么，解决了什么技术问题，产生了什么预料不到的技术效果。</w:t>
      </w:r>
    </w:p>
    <w:p w14:paraId="65E47585" w14:textId="77777777" w:rsidR="00B56E05" w:rsidRDefault="00B56E05" w:rsidP="00B56E05">
      <w:pPr>
        <w:pStyle w:val="af5"/>
        <w:snapToGrid w:val="0"/>
        <w:spacing w:line="560" w:lineRule="exact"/>
        <w:ind w:firstLineChars="200" w:firstLine="560"/>
        <w:rPr>
          <w:rFonts w:ascii="仿宋_GB2312" w:eastAsia="仿宋_GB2312"/>
          <w:sz w:val="28"/>
          <w:szCs w:val="30"/>
        </w:rPr>
      </w:pPr>
      <w:r w:rsidRPr="009F439A">
        <w:rPr>
          <w:rFonts w:ascii="仿宋_GB2312" w:eastAsia="仿宋_GB2312"/>
          <w:sz w:val="28"/>
          <w:szCs w:val="30"/>
        </w:rPr>
        <w:t>5.2 可以对应3部分所要解决的技术问题或发明目的来描述</w:t>
      </w:r>
      <w:r w:rsidRPr="009F439A">
        <w:rPr>
          <w:rFonts w:ascii="仿宋_GB2312" w:eastAsia="仿宋_GB2312" w:hint="eastAsia"/>
          <w:sz w:val="28"/>
          <w:szCs w:val="30"/>
        </w:rPr>
        <w:t>。</w:t>
      </w:r>
    </w:p>
    <w:p w14:paraId="087D6CD3" w14:textId="77777777" w:rsidR="00B56E05" w:rsidRPr="009F439A" w:rsidRDefault="00B56E05" w:rsidP="00B56E05">
      <w:pPr>
        <w:pStyle w:val="af5"/>
        <w:snapToGrid w:val="0"/>
        <w:spacing w:line="560" w:lineRule="exact"/>
        <w:ind w:firstLineChars="200" w:firstLine="560"/>
        <w:rPr>
          <w:rFonts w:ascii="仿宋_GB2312" w:eastAsia="仿宋_GB2312"/>
          <w:sz w:val="28"/>
          <w:szCs w:val="30"/>
        </w:rPr>
      </w:pPr>
    </w:p>
    <w:p w14:paraId="4EC497A5"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6</w:t>
      </w:r>
      <w:r w:rsidRPr="002C025A">
        <w:rPr>
          <w:rFonts w:ascii="仿宋_GB2312" w:eastAsia="仿宋_GB2312"/>
          <w:b/>
          <w:sz w:val="28"/>
          <w:szCs w:val="30"/>
        </w:rPr>
        <w:t xml:space="preserve"> </w:t>
      </w:r>
      <w:r>
        <w:rPr>
          <w:rFonts w:ascii="仿宋_GB2312" w:eastAsia="仿宋_GB2312" w:hint="eastAsia"/>
          <w:b/>
          <w:sz w:val="28"/>
          <w:szCs w:val="30"/>
        </w:rPr>
        <w:t>本方案的亮点是什么</w:t>
      </w:r>
    </w:p>
    <w:p w14:paraId="66FA693C" w14:textId="77777777" w:rsidR="00B56E05" w:rsidRPr="005F5526" w:rsidRDefault="00B56E05" w:rsidP="00B56E05">
      <w:pPr>
        <w:pStyle w:val="af5"/>
        <w:snapToGrid w:val="0"/>
        <w:spacing w:line="560" w:lineRule="exact"/>
        <w:ind w:firstLineChars="200" w:firstLine="560"/>
        <w:jc w:val="both"/>
        <w:rPr>
          <w:rFonts w:ascii="仿宋_GB2312" w:eastAsia="仿宋_GB2312"/>
          <w:sz w:val="28"/>
          <w:szCs w:val="30"/>
        </w:rPr>
      </w:pPr>
      <w:r w:rsidRPr="005F5526">
        <w:rPr>
          <w:rFonts w:ascii="仿宋_GB2312" w:eastAsia="仿宋_GB2312" w:hint="eastAsia"/>
          <w:sz w:val="28"/>
          <w:szCs w:val="30"/>
        </w:rPr>
        <w:t>提示：可以从技术的角度说新技术方案中的哪个做法是亮点，或者，也可以从功能的角度说新技术方案所实现的什么功能是亮点，两者取其中一种。请将所有亮点用</w:t>
      </w:r>
      <w:r w:rsidRPr="005F5526">
        <w:rPr>
          <w:rFonts w:ascii="仿宋_GB2312" w:eastAsia="仿宋_GB2312"/>
          <w:sz w:val="28"/>
          <w:szCs w:val="30"/>
        </w:rPr>
        <w:t>1、2、3</w:t>
      </w:r>
      <w:r w:rsidRPr="005F5526">
        <w:rPr>
          <w:rFonts w:ascii="仿宋_GB2312" w:eastAsia="仿宋_GB2312"/>
          <w:sz w:val="28"/>
          <w:szCs w:val="30"/>
        </w:rPr>
        <w:t>…</w:t>
      </w:r>
      <w:r w:rsidRPr="005F5526">
        <w:rPr>
          <w:rFonts w:ascii="仿宋_GB2312" w:eastAsia="仿宋_GB2312"/>
          <w:sz w:val="28"/>
          <w:szCs w:val="30"/>
        </w:rPr>
        <w:t>的形式列出，简单列出即可，不需要像第4点那样详细地展开，以提醒代理人注意，便于双方校正各自对关键点的理解。</w:t>
      </w:r>
    </w:p>
    <w:p w14:paraId="2FA409E6" w14:textId="77777777" w:rsidR="00B56E05" w:rsidRPr="009F3833" w:rsidRDefault="00B56E05" w:rsidP="00B56E05">
      <w:pPr>
        <w:pStyle w:val="af5"/>
        <w:snapToGrid w:val="0"/>
        <w:spacing w:line="560" w:lineRule="exact"/>
        <w:ind w:firstLineChars="200" w:firstLine="600"/>
        <w:rPr>
          <w:rFonts w:ascii="仿宋_GB2312" w:eastAsia="仿宋_GB2312"/>
          <w:sz w:val="30"/>
          <w:szCs w:val="30"/>
        </w:rPr>
      </w:pPr>
    </w:p>
    <w:p w14:paraId="431C93FF" w14:textId="77777777" w:rsidR="00B56E05" w:rsidRPr="002C025A" w:rsidRDefault="00B56E05" w:rsidP="00B56E05">
      <w:pPr>
        <w:pStyle w:val="af5"/>
        <w:snapToGrid w:val="0"/>
        <w:spacing w:beforeLines="50" w:before="156" w:afterLines="50" w:after="156" w:line="360" w:lineRule="exact"/>
        <w:jc w:val="both"/>
        <w:rPr>
          <w:rFonts w:ascii="仿宋_GB2312" w:eastAsia="仿宋_GB2312"/>
          <w:b/>
          <w:sz w:val="28"/>
          <w:szCs w:val="30"/>
        </w:rPr>
      </w:pPr>
      <w:r>
        <w:rPr>
          <w:rFonts w:ascii="仿宋_GB2312" w:eastAsia="仿宋_GB2312"/>
          <w:b/>
          <w:sz w:val="28"/>
          <w:szCs w:val="30"/>
        </w:rPr>
        <w:t>7</w:t>
      </w:r>
      <w:r w:rsidRPr="002C025A">
        <w:rPr>
          <w:rFonts w:ascii="仿宋_GB2312" w:eastAsia="仿宋_GB2312"/>
          <w:b/>
          <w:sz w:val="28"/>
          <w:szCs w:val="30"/>
        </w:rPr>
        <w:t xml:space="preserve"> </w:t>
      </w:r>
      <w:r w:rsidRPr="002C025A">
        <w:rPr>
          <w:rFonts w:ascii="仿宋_GB2312" w:eastAsia="仿宋_GB2312" w:hint="eastAsia"/>
          <w:b/>
          <w:sz w:val="28"/>
          <w:szCs w:val="30"/>
        </w:rPr>
        <w:t>其它有助于代理师理解的技术材料</w:t>
      </w:r>
    </w:p>
    <w:p w14:paraId="3A667681" w14:textId="77777777" w:rsidR="00B56E05" w:rsidRPr="00816F45" w:rsidRDefault="00B56E05" w:rsidP="00B56E05">
      <w:pPr>
        <w:ind w:firstLineChars="200" w:firstLine="560"/>
        <w:rPr>
          <w:rFonts w:ascii="仿宋_GB2312" w:eastAsia="仿宋_GB2312" w:hAnsi="Times New Roman" w:cs="Times New Roman"/>
          <w:kern w:val="0"/>
          <w:sz w:val="28"/>
          <w:szCs w:val="30"/>
        </w:rPr>
      </w:pPr>
      <w:r w:rsidRPr="00816F45">
        <w:rPr>
          <w:rFonts w:ascii="仿宋_GB2312" w:eastAsia="仿宋_GB2312" w:hAnsi="Times New Roman" w:cs="Times New Roman" w:hint="eastAsia"/>
          <w:kern w:val="0"/>
          <w:sz w:val="28"/>
          <w:szCs w:val="30"/>
        </w:rPr>
        <w:t>提示：可以以部门新员工需要了解一个技术时所要阅读的文献列表这样的标准来提供参考资料</w:t>
      </w:r>
    </w:p>
    <w:p w14:paraId="47D91867" w14:textId="07DCF6AD" w:rsidR="00C93DDC" w:rsidRDefault="00B56E05" w:rsidP="00B56E05">
      <w:r>
        <w:br w:type="page"/>
      </w:r>
    </w:p>
    <w:sectPr w:rsidR="00C93D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C1E9F8" w14:textId="77777777" w:rsidR="006B28A5" w:rsidRDefault="006B28A5" w:rsidP="00B56E05">
      <w:r>
        <w:separator/>
      </w:r>
    </w:p>
  </w:endnote>
  <w:endnote w:type="continuationSeparator" w:id="0">
    <w:p w14:paraId="2DBA1109" w14:textId="77777777" w:rsidR="006B28A5" w:rsidRDefault="006B28A5" w:rsidP="00B56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panose1 w:val="020B0604020202020204"/>
    <w:charset w:val="86"/>
    <w:family w:val="modern"/>
    <w:pitch w:val="fixed"/>
    <w:sig w:usb0="00000001"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151CA" w14:textId="77777777" w:rsidR="006B28A5" w:rsidRDefault="006B28A5" w:rsidP="00B56E05">
      <w:r>
        <w:separator/>
      </w:r>
    </w:p>
  </w:footnote>
  <w:footnote w:type="continuationSeparator" w:id="0">
    <w:p w14:paraId="48D71B4C" w14:textId="77777777" w:rsidR="006B28A5" w:rsidRDefault="006B28A5" w:rsidP="00B56E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65E"/>
    <w:multiLevelType w:val="multilevel"/>
    <w:tmpl w:val="9D4CD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904A40"/>
    <w:multiLevelType w:val="multilevel"/>
    <w:tmpl w:val="98E89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2A1E3A"/>
    <w:multiLevelType w:val="multilevel"/>
    <w:tmpl w:val="8EE2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0E7387"/>
    <w:multiLevelType w:val="multilevel"/>
    <w:tmpl w:val="BB8A1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A15512"/>
    <w:multiLevelType w:val="multilevel"/>
    <w:tmpl w:val="93E42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6C0DB9"/>
    <w:multiLevelType w:val="multilevel"/>
    <w:tmpl w:val="2CEEE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5C77E3"/>
    <w:multiLevelType w:val="multilevel"/>
    <w:tmpl w:val="255C77E3"/>
    <w:lvl w:ilvl="0">
      <w:start w:val="1"/>
      <w:numFmt w:val="decimal"/>
      <w:pStyle w:val="1"/>
      <w:suff w:val="space"/>
      <w:lvlText w:val="第%1章"/>
      <w:lvlJc w:val="left"/>
      <w:pPr>
        <w:ind w:left="420" w:hanging="420"/>
      </w:pPr>
      <w:rPr>
        <w:rFonts w:hint="eastAsia"/>
      </w:rPr>
    </w:lvl>
    <w:lvl w:ilvl="1">
      <w:start w:val="1"/>
      <w:numFmt w:val="decimal"/>
      <w:pStyle w:val="2"/>
      <w:suff w:val="space"/>
      <w:lvlText w:val="%1.%2"/>
      <w:lvlJc w:val="left"/>
      <w:pPr>
        <w:ind w:left="840" w:hanging="840"/>
      </w:pPr>
      <w:rPr>
        <w:rFonts w:hint="eastAsia"/>
      </w:rPr>
    </w:lvl>
    <w:lvl w:ilvl="2">
      <w:start w:val="1"/>
      <w:numFmt w:val="decimal"/>
      <w:pStyle w:val="3"/>
      <w:suff w:val="space"/>
      <w:lvlText w:val="%1.%2.%3"/>
      <w:lvlJc w:val="left"/>
      <w:pPr>
        <w:ind w:left="1260" w:hanging="1260"/>
      </w:pPr>
      <w:rPr>
        <w:rFonts w:hint="eastAsia"/>
        <w:i w:val="0"/>
        <w:iCs w:val="0"/>
      </w:rPr>
    </w:lvl>
    <w:lvl w:ilvl="3">
      <w:start w:val="1"/>
      <w:numFmt w:val="decimal"/>
      <w:pStyle w:val="4"/>
      <w:suff w:val="space"/>
      <w:lvlText w:val="%1.%2.%3.%4"/>
      <w:lvlJc w:val="left"/>
      <w:pPr>
        <w:ind w:left="1680" w:hanging="168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15:restartNumberingAfterBreak="0">
    <w:nsid w:val="27773B68"/>
    <w:multiLevelType w:val="multilevel"/>
    <w:tmpl w:val="8FF8B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501AA5"/>
    <w:multiLevelType w:val="multilevel"/>
    <w:tmpl w:val="ADC00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392113"/>
    <w:multiLevelType w:val="multilevel"/>
    <w:tmpl w:val="06A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9F35F3"/>
    <w:multiLevelType w:val="multilevel"/>
    <w:tmpl w:val="C324E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944BEE"/>
    <w:multiLevelType w:val="multilevel"/>
    <w:tmpl w:val="3ACE4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CB15D8"/>
    <w:multiLevelType w:val="multilevel"/>
    <w:tmpl w:val="8B024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B8152B"/>
    <w:multiLevelType w:val="multilevel"/>
    <w:tmpl w:val="7E24B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C77D18"/>
    <w:multiLevelType w:val="multilevel"/>
    <w:tmpl w:val="B7F6E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F73FC"/>
    <w:multiLevelType w:val="multilevel"/>
    <w:tmpl w:val="B888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641182">
    <w:abstractNumId w:val="6"/>
  </w:num>
  <w:num w:numId="2" w16cid:durableId="900097289">
    <w:abstractNumId w:val="6"/>
  </w:num>
  <w:num w:numId="3" w16cid:durableId="1824541208">
    <w:abstractNumId w:val="6"/>
  </w:num>
  <w:num w:numId="4" w16cid:durableId="27873554">
    <w:abstractNumId w:val="6"/>
  </w:num>
  <w:num w:numId="5" w16cid:durableId="2095931345">
    <w:abstractNumId w:val="4"/>
  </w:num>
  <w:num w:numId="6" w16cid:durableId="1265764649">
    <w:abstractNumId w:val="9"/>
  </w:num>
  <w:num w:numId="7" w16cid:durableId="1880243667">
    <w:abstractNumId w:val="7"/>
  </w:num>
  <w:num w:numId="8" w16cid:durableId="1423603586">
    <w:abstractNumId w:val="0"/>
  </w:num>
  <w:num w:numId="9" w16cid:durableId="90468897">
    <w:abstractNumId w:val="10"/>
  </w:num>
  <w:num w:numId="10" w16cid:durableId="595361526">
    <w:abstractNumId w:val="5"/>
  </w:num>
  <w:num w:numId="11" w16cid:durableId="1075013212">
    <w:abstractNumId w:val="15"/>
  </w:num>
  <w:num w:numId="12" w16cid:durableId="558367317">
    <w:abstractNumId w:val="3"/>
  </w:num>
  <w:num w:numId="13" w16cid:durableId="740833227">
    <w:abstractNumId w:val="14"/>
  </w:num>
  <w:num w:numId="14" w16cid:durableId="1979802447">
    <w:abstractNumId w:val="11"/>
  </w:num>
  <w:num w:numId="15" w16cid:durableId="614214644">
    <w:abstractNumId w:val="2"/>
  </w:num>
  <w:num w:numId="16" w16cid:durableId="639269262">
    <w:abstractNumId w:val="13"/>
  </w:num>
  <w:num w:numId="17" w16cid:durableId="2087216793">
    <w:abstractNumId w:val="1"/>
  </w:num>
  <w:num w:numId="18" w16cid:durableId="861673464">
    <w:abstractNumId w:val="12"/>
  </w:num>
  <w:num w:numId="19" w16cid:durableId="20705714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0AE"/>
    <w:rsid w:val="00004E6B"/>
    <w:rsid w:val="00032E46"/>
    <w:rsid w:val="00114576"/>
    <w:rsid w:val="003A6565"/>
    <w:rsid w:val="00424693"/>
    <w:rsid w:val="004524AA"/>
    <w:rsid w:val="00486EE4"/>
    <w:rsid w:val="004B74A1"/>
    <w:rsid w:val="004E467F"/>
    <w:rsid w:val="00506196"/>
    <w:rsid w:val="00561A9B"/>
    <w:rsid w:val="00576CDF"/>
    <w:rsid w:val="0061025E"/>
    <w:rsid w:val="00662246"/>
    <w:rsid w:val="00684720"/>
    <w:rsid w:val="006879CE"/>
    <w:rsid w:val="006B28A5"/>
    <w:rsid w:val="0073666E"/>
    <w:rsid w:val="007533B7"/>
    <w:rsid w:val="00785D64"/>
    <w:rsid w:val="007B2858"/>
    <w:rsid w:val="00815752"/>
    <w:rsid w:val="008940AE"/>
    <w:rsid w:val="008F0B81"/>
    <w:rsid w:val="009519BF"/>
    <w:rsid w:val="009D5DE5"/>
    <w:rsid w:val="00A2377B"/>
    <w:rsid w:val="00AD5574"/>
    <w:rsid w:val="00B56E05"/>
    <w:rsid w:val="00BA17F0"/>
    <w:rsid w:val="00C22788"/>
    <w:rsid w:val="00C24BE7"/>
    <w:rsid w:val="00C554C9"/>
    <w:rsid w:val="00C8743B"/>
    <w:rsid w:val="00C93DDC"/>
    <w:rsid w:val="00CA4484"/>
    <w:rsid w:val="00CC212D"/>
    <w:rsid w:val="00D83756"/>
    <w:rsid w:val="00E00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81FEED"/>
  <w15:chartTrackingRefBased/>
  <w15:docId w15:val="{8400516E-2F4E-4DCD-8DD1-73630FFF0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E05"/>
    <w:pPr>
      <w:widowControl w:val="0"/>
      <w:jc w:val="both"/>
    </w:pPr>
    <w:rPr>
      <w14:ligatures w14:val="none"/>
    </w:rPr>
  </w:style>
  <w:style w:type="paragraph" w:styleId="10">
    <w:name w:val="heading 1"/>
    <w:basedOn w:val="a"/>
    <w:next w:val="a"/>
    <w:link w:val="11"/>
    <w:uiPriority w:val="9"/>
    <w:qFormat/>
    <w:rsid w:val="008F0B81"/>
    <w:pPr>
      <w:keepNext/>
      <w:keepLines/>
      <w:spacing w:before="340" w:after="330" w:line="578" w:lineRule="auto"/>
      <w:outlineLvl w:val="0"/>
    </w:pPr>
    <w:rPr>
      <w:b/>
      <w:bCs/>
      <w:kern w:val="44"/>
      <w:sz w:val="44"/>
      <w:szCs w:val="44"/>
      <w14:ligatures w14:val="standardContextual"/>
    </w:rPr>
  </w:style>
  <w:style w:type="paragraph" w:styleId="20">
    <w:name w:val="heading 2"/>
    <w:basedOn w:val="a"/>
    <w:next w:val="a"/>
    <w:link w:val="21"/>
    <w:uiPriority w:val="9"/>
    <w:unhideWhenUsed/>
    <w:qFormat/>
    <w:rsid w:val="008940AE"/>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0">
    <w:name w:val="heading 3"/>
    <w:basedOn w:val="a"/>
    <w:next w:val="a"/>
    <w:link w:val="31"/>
    <w:uiPriority w:val="9"/>
    <w:semiHidden/>
    <w:unhideWhenUsed/>
    <w:qFormat/>
    <w:rsid w:val="008940AE"/>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0">
    <w:name w:val="heading 4"/>
    <w:basedOn w:val="a"/>
    <w:next w:val="a"/>
    <w:link w:val="41"/>
    <w:uiPriority w:val="9"/>
    <w:semiHidden/>
    <w:unhideWhenUsed/>
    <w:qFormat/>
    <w:rsid w:val="008940AE"/>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8940AE"/>
    <w:pPr>
      <w:keepNext/>
      <w:keepLines/>
      <w:spacing w:before="80" w:after="40"/>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rsid w:val="008940AE"/>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8940AE"/>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8940AE"/>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8940AE"/>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硕标1"/>
    <w:basedOn w:val="10"/>
    <w:link w:val="12"/>
    <w:qFormat/>
    <w:rsid w:val="008F0B81"/>
    <w:pPr>
      <w:widowControl/>
      <w:numPr>
        <w:numId w:val="4"/>
      </w:numPr>
      <w:adjustRightInd w:val="0"/>
      <w:snapToGrid w:val="0"/>
      <w:spacing w:before="500" w:after="240" w:line="324" w:lineRule="auto"/>
      <w:ind w:rightChars="-13" w:right="-27"/>
      <w:jc w:val="center"/>
    </w:pPr>
    <w:rPr>
      <w:rFonts w:ascii="Times New Roman" w:eastAsia="黑体" w:hAnsi="Times New Roman" w:cs="Times New Roman"/>
      <w:b w:val="0"/>
      <w:bCs w:val="0"/>
      <w:sz w:val="36"/>
      <w:szCs w:val="36"/>
      <w14:ligatures w14:val="none"/>
    </w:rPr>
  </w:style>
  <w:style w:type="character" w:customStyle="1" w:styleId="12">
    <w:name w:val="硕标1 字符"/>
    <w:basedOn w:val="11"/>
    <w:link w:val="1"/>
    <w:rsid w:val="008F0B81"/>
    <w:rPr>
      <w:rFonts w:ascii="Times New Roman" w:eastAsia="黑体" w:hAnsi="Times New Roman" w:cs="Times New Roman"/>
      <w:b w:val="0"/>
      <w:bCs w:val="0"/>
      <w:kern w:val="44"/>
      <w:sz w:val="36"/>
      <w:szCs w:val="36"/>
      <w14:ligatures w14:val="none"/>
    </w:rPr>
  </w:style>
  <w:style w:type="character" w:customStyle="1" w:styleId="11">
    <w:name w:val="标题 1 字符"/>
    <w:basedOn w:val="a0"/>
    <w:link w:val="10"/>
    <w:uiPriority w:val="9"/>
    <w:rsid w:val="008F0B81"/>
    <w:rPr>
      <w:b/>
      <w:bCs/>
      <w:kern w:val="44"/>
      <w:sz w:val="44"/>
      <w:szCs w:val="44"/>
    </w:rPr>
  </w:style>
  <w:style w:type="paragraph" w:customStyle="1" w:styleId="2">
    <w:name w:val="硕士标2"/>
    <w:basedOn w:val="a"/>
    <w:link w:val="22"/>
    <w:qFormat/>
    <w:rsid w:val="008F0B81"/>
    <w:pPr>
      <w:keepNext/>
      <w:keepLines/>
      <w:widowControl/>
      <w:numPr>
        <w:ilvl w:val="1"/>
        <w:numId w:val="4"/>
      </w:numPr>
      <w:adjustRightInd w:val="0"/>
      <w:snapToGrid w:val="0"/>
      <w:spacing w:beforeLines="50" w:before="156" w:afterLines="50" w:after="156" w:line="324" w:lineRule="auto"/>
      <w:outlineLvl w:val="1"/>
    </w:pPr>
    <w:rPr>
      <w:rFonts w:ascii="Times New Roman" w:eastAsia="黑体" w:hAnsi="Times New Roman" w:cs="Times New Roman"/>
      <w:kern w:val="0"/>
      <w:sz w:val="30"/>
      <w:szCs w:val="32"/>
    </w:rPr>
  </w:style>
  <w:style w:type="character" w:customStyle="1" w:styleId="22">
    <w:name w:val="硕士标2 字符"/>
    <w:basedOn w:val="a0"/>
    <w:link w:val="2"/>
    <w:qFormat/>
    <w:rsid w:val="008F0B81"/>
    <w:rPr>
      <w:rFonts w:ascii="Times New Roman" w:eastAsia="黑体" w:hAnsi="Times New Roman" w:cs="Times New Roman"/>
      <w:kern w:val="0"/>
      <w:sz w:val="30"/>
      <w:szCs w:val="32"/>
      <w14:ligatures w14:val="none"/>
    </w:rPr>
  </w:style>
  <w:style w:type="paragraph" w:customStyle="1" w:styleId="3">
    <w:name w:val="硕标3"/>
    <w:basedOn w:val="a"/>
    <w:link w:val="32"/>
    <w:qFormat/>
    <w:rsid w:val="008F0B81"/>
    <w:pPr>
      <w:widowControl/>
      <w:numPr>
        <w:ilvl w:val="2"/>
        <w:numId w:val="4"/>
      </w:numPr>
      <w:spacing w:after="200" w:line="220" w:lineRule="atLeast"/>
      <w:outlineLvl w:val="2"/>
    </w:pPr>
    <w:rPr>
      <w:rFonts w:ascii="Times New Roman" w:eastAsia="黑体" w:hAnsi="Times New Roman" w:cs="Times New Roman"/>
      <w:kern w:val="0"/>
      <w:sz w:val="28"/>
      <w:szCs w:val="28"/>
      <w:lang w:val="zh-CN"/>
    </w:rPr>
  </w:style>
  <w:style w:type="character" w:customStyle="1" w:styleId="32">
    <w:name w:val="硕标3 字符"/>
    <w:basedOn w:val="a0"/>
    <w:link w:val="3"/>
    <w:qFormat/>
    <w:rsid w:val="008F0B81"/>
    <w:rPr>
      <w:rFonts w:ascii="Times New Roman" w:eastAsia="黑体" w:hAnsi="Times New Roman" w:cs="Times New Roman"/>
      <w:kern w:val="0"/>
      <w:sz w:val="28"/>
      <w:szCs w:val="28"/>
      <w:lang w:val="zh-CN"/>
      <w14:ligatures w14:val="none"/>
    </w:rPr>
  </w:style>
  <w:style w:type="paragraph" w:customStyle="1" w:styleId="4">
    <w:name w:val="硕标4"/>
    <w:basedOn w:val="a"/>
    <w:link w:val="42"/>
    <w:qFormat/>
    <w:rsid w:val="008F0B81"/>
    <w:pPr>
      <w:widowControl/>
      <w:numPr>
        <w:ilvl w:val="3"/>
        <w:numId w:val="4"/>
      </w:numPr>
    </w:pPr>
    <w:rPr>
      <w:rFonts w:ascii="Times New Roman" w:eastAsia="黑体" w:hAnsi="Times New Roman" w:cs="Times New Roman"/>
      <w:sz w:val="24"/>
      <w:szCs w:val="24"/>
    </w:rPr>
  </w:style>
  <w:style w:type="character" w:customStyle="1" w:styleId="42">
    <w:name w:val="硕标4 字符"/>
    <w:basedOn w:val="a0"/>
    <w:link w:val="4"/>
    <w:qFormat/>
    <w:rsid w:val="008F0B81"/>
    <w:rPr>
      <w:rFonts w:ascii="Times New Roman" w:eastAsia="黑体" w:hAnsi="Times New Roman" w:cs="Times New Roman"/>
      <w:sz w:val="24"/>
      <w:szCs w:val="24"/>
      <w14:ligatures w14:val="none"/>
    </w:rPr>
  </w:style>
  <w:style w:type="paragraph" w:customStyle="1" w:styleId="a3">
    <w:name w:val="硕士正文"/>
    <w:basedOn w:val="a"/>
    <w:link w:val="a4"/>
    <w:qFormat/>
    <w:rsid w:val="008F0B81"/>
    <w:pPr>
      <w:widowControl/>
      <w:snapToGrid w:val="0"/>
      <w:spacing w:line="300" w:lineRule="auto"/>
      <w:ind w:firstLineChars="200" w:firstLine="480"/>
    </w:pPr>
    <w:rPr>
      <w:rFonts w:ascii="Times New Roman" w:eastAsia="宋体" w:hAnsi="Times New Roman" w:cs="Times New Roman"/>
      <w:sz w:val="24"/>
      <w:szCs w:val="24"/>
    </w:rPr>
  </w:style>
  <w:style w:type="character" w:customStyle="1" w:styleId="a4">
    <w:name w:val="硕士正文 字符"/>
    <w:basedOn w:val="a0"/>
    <w:link w:val="a3"/>
    <w:qFormat/>
    <w:rsid w:val="008F0B81"/>
    <w:rPr>
      <w:rFonts w:ascii="Times New Roman" w:eastAsia="宋体" w:hAnsi="Times New Roman" w:cs="Times New Roman"/>
      <w:sz w:val="24"/>
      <w:szCs w:val="24"/>
      <w14:ligatures w14:val="none"/>
    </w:rPr>
  </w:style>
  <w:style w:type="paragraph" w:styleId="a5">
    <w:name w:val="caption"/>
    <w:basedOn w:val="a"/>
    <w:next w:val="a"/>
    <w:uiPriority w:val="35"/>
    <w:unhideWhenUsed/>
    <w:qFormat/>
    <w:rsid w:val="008F0B81"/>
    <w:pPr>
      <w:widowControl/>
      <w:jc w:val="center"/>
    </w:pPr>
    <w:rPr>
      <w:rFonts w:ascii="Times New Roman" w:eastAsia="宋体" w:hAnsi="Times New Roman" w:cstheme="majorBidi"/>
      <w:szCs w:val="20"/>
    </w:rPr>
  </w:style>
  <w:style w:type="character" w:customStyle="1" w:styleId="21">
    <w:name w:val="标题 2 字符"/>
    <w:basedOn w:val="a0"/>
    <w:link w:val="20"/>
    <w:uiPriority w:val="9"/>
    <w:rsid w:val="008940AE"/>
    <w:rPr>
      <w:rFonts w:asciiTheme="majorHAnsi" w:eastAsiaTheme="majorEastAsia" w:hAnsiTheme="majorHAnsi" w:cstheme="majorBidi"/>
      <w:color w:val="0F4761" w:themeColor="accent1" w:themeShade="BF"/>
      <w:sz w:val="40"/>
      <w:szCs w:val="40"/>
    </w:rPr>
  </w:style>
  <w:style w:type="character" w:customStyle="1" w:styleId="31">
    <w:name w:val="标题 3 字符"/>
    <w:basedOn w:val="a0"/>
    <w:link w:val="30"/>
    <w:uiPriority w:val="9"/>
    <w:semiHidden/>
    <w:rsid w:val="008940AE"/>
    <w:rPr>
      <w:rFonts w:asciiTheme="majorHAnsi" w:eastAsiaTheme="majorEastAsia" w:hAnsiTheme="majorHAnsi" w:cstheme="majorBidi"/>
      <w:color w:val="0F4761" w:themeColor="accent1" w:themeShade="BF"/>
      <w:sz w:val="32"/>
      <w:szCs w:val="32"/>
    </w:rPr>
  </w:style>
  <w:style w:type="character" w:customStyle="1" w:styleId="41">
    <w:name w:val="标题 4 字符"/>
    <w:basedOn w:val="a0"/>
    <w:link w:val="40"/>
    <w:uiPriority w:val="9"/>
    <w:semiHidden/>
    <w:rsid w:val="008940AE"/>
    <w:rPr>
      <w:rFonts w:cstheme="majorBidi"/>
      <w:color w:val="0F4761" w:themeColor="accent1" w:themeShade="BF"/>
      <w:sz w:val="28"/>
      <w:szCs w:val="28"/>
    </w:rPr>
  </w:style>
  <w:style w:type="character" w:customStyle="1" w:styleId="50">
    <w:name w:val="标题 5 字符"/>
    <w:basedOn w:val="a0"/>
    <w:link w:val="5"/>
    <w:uiPriority w:val="9"/>
    <w:semiHidden/>
    <w:rsid w:val="008940AE"/>
    <w:rPr>
      <w:rFonts w:cstheme="majorBidi"/>
      <w:color w:val="0F4761" w:themeColor="accent1" w:themeShade="BF"/>
      <w:sz w:val="24"/>
      <w:szCs w:val="24"/>
    </w:rPr>
  </w:style>
  <w:style w:type="character" w:customStyle="1" w:styleId="60">
    <w:name w:val="标题 6 字符"/>
    <w:basedOn w:val="a0"/>
    <w:link w:val="6"/>
    <w:uiPriority w:val="9"/>
    <w:semiHidden/>
    <w:rsid w:val="008940AE"/>
    <w:rPr>
      <w:rFonts w:cstheme="majorBidi"/>
      <w:b/>
      <w:bCs/>
      <w:color w:val="0F4761" w:themeColor="accent1" w:themeShade="BF"/>
    </w:rPr>
  </w:style>
  <w:style w:type="character" w:customStyle="1" w:styleId="70">
    <w:name w:val="标题 7 字符"/>
    <w:basedOn w:val="a0"/>
    <w:link w:val="7"/>
    <w:uiPriority w:val="9"/>
    <w:semiHidden/>
    <w:rsid w:val="008940AE"/>
    <w:rPr>
      <w:rFonts w:cstheme="majorBidi"/>
      <w:b/>
      <w:bCs/>
      <w:color w:val="595959" w:themeColor="text1" w:themeTint="A6"/>
    </w:rPr>
  </w:style>
  <w:style w:type="character" w:customStyle="1" w:styleId="80">
    <w:name w:val="标题 8 字符"/>
    <w:basedOn w:val="a0"/>
    <w:link w:val="8"/>
    <w:uiPriority w:val="9"/>
    <w:semiHidden/>
    <w:rsid w:val="008940AE"/>
    <w:rPr>
      <w:rFonts w:cstheme="majorBidi"/>
      <w:color w:val="595959" w:themeColor="text1" w:themeTint="A6"/>
    </w:rPr>
  </w:style>
  <w:style w:type="character" w:customStyle="1" w:styleId="90">
    <w:name w:val="标题 9 字符"/>
    <w:basedOn w:val="a0"/>
    <w:link w:val="9"/>
    <w:uiPriority w:val="9"/>
    <w:semiHidden/>
    <w:rsid w:val="008940AE"/>
    <w:rPr>
      <w:rFonts w:eastAsiaTheme="majorEastAsia" w:cstheme="majorBidi"/>
      <w:color w:val="595959" w:themeColor="text1" w:themeTint="A6"/>
    </w:rPr>
  </w:style>
  <w:style w:type="paragraph" w:styleId="a6">
    <w:name w:val="Title"/>
    <w:basedOn w:val="a"/>
    <w:next w:val="a"/>
    <w:link w:val="a7"/>
    <w:uiPriority w:val="10"/>
    <w:qFormat/>
    <w:rsid w:val="008940AE"/>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7">
    <w:name w:val="标题 字符"/>
    <w:basedOn w:val="a0"/>
    <w:link w:val="a6"/>
    <w:uiPriority w:val="10"/>
    <w:rsid w:val="008940AE"/>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qFormat/>
    <w:rsid w:val="008940AE"/>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9">
    <w:name w:val="副标题 字符"/>
    <w:basedOn w:val="a0"/>
    <w:link w:val="a8"/>
    <w:uiPriority w:val="11"/>
    <w:rsid w:val="008940AE"/>
    <w:rPr>
      <w:rFonts w:asciiTheme="majorHAnsi" w:eastAsiaTheme="majorEastAsia" w:hAnsiTheme="majorHAnsi" w:cstheme="majorBidi"/>
      <w:color w:val="595959" w:themeColor="text1" w:themeTint="A6"/>
      <w:spacing w:val="15"/>
      <w:sz w:val="28"/>
      <w:szCs w:val="28"/>
    </w:rPr>
  </w:style>
  <w:style w:type="paragraph" w:styleId="aa">
    <w:name w:val="Quote"/>
    <w:basedOn w:val="a"/>
    <w:next w:val="a"/>
    <w:link w:val="ab"/>
    <w:uiPriority w:val="29"/>
    <w:qFormat/>
    <w:rsid w:val="008940AE"/>
    <w:pPr>
      <w:spacing w:before="160" w:after="160"/>
      <w:jc w:val="center"/>
    </w:pPr>
    <w:rPr>
      <w:i/>
      <w:iCs/>
      <w:color w:val="404040" w:themeColor="text1" w:themeTint="BF"/>
      <w14:ligatures w14:val="standardContextual"/>
    </w:rPr>
  </w:style>
  <w:style w:type="character" w:customStyle="1" w:styleId="ab">
    <w:name w:val="引用 字符"/>
    <w:basedOn w:val="a0"/>
    <w:link w:val="aa"/>
    <w:uiPriority w:val="29"/>
    <w:rsid w:val="008940AE"/>
    <w:rPr>
      <w:i/>
      <w:iCs/>
      <w:color w:val="404040" w:themeColor="text1" w:themeTint="BF"/>
    </w:rPr>
  </w:style>
  <w:style w:type="paragraph" w:styleId="ac">
    <w:name w:val="List Paragraph"/>
    <w:basedOn w:val="a"/>
    <w:uiPriority w:val="34"/>
    <w:qFormat/>
    <w:rsid w:val="008940AE"/>
    <w:pPr>
      <w:ind w:left="720"/>
      <w:contextualSpacing/>
    </w:pPr>
    <w:rPr>
      <w14:ligatures w14:val="standardContextual"/>
    </w:rPr>
  </w:style>
  <w:style w:type="character" w:styleId="ad">
    <w:name w:val="Intense Emphasis"/>
    <w:basedOn w:val="a0"/>
    <w:uiPriority w:val="21"/>
    <w:qFormat/>
    <w:rsid w:val="008940AE"/>
    <w:rPr>
      <w:i/>
      <w:iCs/>
      <w:color w:val="0F4761" w:themeColor="accent1" w:themeShade="BF"/>
    </w:rPr>
  </w:style>
  <w:style w:type="paragraph" w:styleId="ae">
    <w:name w:val="Intense Quote"/>
    <w:basedOn w:val="a"/>
    <w:next w:val="a"/>
    <w:link w:val="af"/>
    <w:uiPriority w:val="30"/>
    <w:qFormat/>
    <w:rsid w:val="008940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f">
    <w:name w:val="明显引用 字符"/>
    <w:basedOn w:val="a0"/>
    <w:link w:val="ae"/>
    <w:uiPriority w:val="30"/>
    <w:rsid w:val="008940AE"/>
    <w:rPr>
      <w:i/>
      <w:iCs/>
      <w:color w:val="0F4761" w:themeColor="accent1" w:themeShade="BF"/>
    </w:rPr>
  </w:style>
  <w:style w:type="character" w:styleId="af0">
    <w:name w:val="Intense Reference"/>
    <w:basedOn w:val="a0"/>
    <w:uiPriority w:val="32"/>
    <w:qFormat/>
    <w:rsid w:val="008940AE"/>
    <w:rPr>
      <w:b/>
      <w:bCs/>
      <w:smallCaps/>
      <w:color w:val="0F4761" w:themeColor="accent1" w:themeShade="BF"/>
      <w:spacing w:val="5"/>
    </w:rPr>
  </w:style>
  <w:style w:type="paragraph" w:styleId="af1">
    <w:name w:val="header"/>
    <w:basedOn w:val="a"/>
    <w:link w:val="af2"/>
    <w:uiPriority w:val="99"/>
    <w:unhideWhenUsed/>
    <w:rsid w:val="00B56E05"/>
    <w:pPr>
      <w:tabs>
        <w:tab w:val="center" w:pos="4153"/>
        <w:tab w:val="right" w:pos="8306"/>
      </w:tabs>
      <w:snapToGrid w:val="0"/>
      <w:jc w:val="center"/>
    </w:pPr>
    <w:rPr>
      <w:sz w:val="18"/>
      <w:szCs w:val="18"/>
      <w14:ligatures w14:val="standardContextual"/>
    </w:rPr>
  </w:style>
  <w:style w:type="character" w:customStyle="1" w:styleId="af2">
    <w:name w:val="页眉 字符"/>
    <w:basedOn w:val="a0"/>
    <w:link w:val="af1"/>
    <w:uiPriority w:val="99"/>
    <w:rsid w:val="00B56E05"/>
    <w:rPr>
      <w:sz w:val="18"/>
      <w:szCs w:val="18"/>
    </w:rPr>
  </w:style>
  <w:style w:type="paragraph" w:styleId="af3">
    <w:name w:val="footer"/>
    <w:basedOn w:val="a"/>
    <w:link w:val="af4"/>
    <w:uiPriority w:val="99"/>
    <w:unhideWhenUsed/>
    <w:rsid w:val="00B56E05"/>
    <w:pPr>
      <w:tabs>
        <w:tab w:val="center" w:pos="4153"/>
        <w:tab w:val="right" w:pos="8306"/>
      </w:tabs>
      <w:snapToGrid w:val="0"/>
      <w:jc w:val="left"/>
    </w:pPr>
    <w:rPr>
      <w:sz w:val="18"/>
      <w:szCs w:val="18"/>
      <w14:ligatures w14:val="standardContextual"/>
    </w:rPr>
  </w:style>
  <w:style w:type="character" w:customStyle="1" w:styleId="af4">
    <w:name w:val="页脚 字符"/>
    <w:basedOn w:val="a0"/>
    <w:link w:val="af3"/>
    <w:uiPriority w:val="99"/>
    <w:rsid w:val="00B56E05"/>
    <w:rPr>
      <w:sz w:val="18"/>
      <w:szCs w:val="18"/>
    </w:rPr>
  </w:style>
  <w:style w:type="paragraph" w:customStyle="1" w:styleId="af5">
    <w:name w:val="缺省文本"/>
    <w:basedOn w:val="a"/>
    <w:rsid w:val="00B56E05"/>
    <w:pPr>
      <w:autoSpaceDE w:val="0"/>
      <w:autoSpaceDN w:val="0"/>
      <w:adjustRightInd w:val="0"/>
      <w:spacing w:line="360" w:lineRule="auto"/>
      <w:jc w:val="left"/>
    </w:pPr>
    <w:rPr>
      <w:rFonts w:ascii="Times New Roman"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60933">
      <w:bodyDiv w:val="1"/>
      <w:marLeft w:val="0"/>
      <w:marRight w:val="0"/>
      <w:marTop w:val="0"/>
      <w:marBottom w:val="0"/>
      <w:divBdr>
        <w:top w:val="none" w:sz="0" w:space="0" w:color="auto"/>
        <w:left w:val="none" w:sz="0" w:space="0" w:color="auto"/>
        <w:bottom w:val="none" w:sz="0" w:space="0" w:color="auto"/>
        <w:right w:val="none" w:sz="0" w:space="0" w:color="auto"/>
      </w:divBdr>
    </w:div>
    <w:div w:id="828205910">
      <w:bodyDiv w:val="1"/>
      <w:marLeft w:val="0"/>
      <w:marRight w:val="0"/>
      <w:marTop w:val="0"/>
      <w:marBottom w:val="0"/>
      <w:divBdr>
        <w:top w:val="none" w:sz="0" w:space="0" w:color="auto"/>
        <w:left w:val="none" w:sz="0" w:space="0" w:color="auto"/>
        <w:bottom w:val="none" w:sz="0" w:space="0" w:color="auto"/>
        <w:right w:val="none" w:sz="0" w:space="0" w:color="auto"/>
      </w:divBdr>
    </w:div>
    <w:div w:id="931546048">
      <w:bodyDiv w:val="1"/>
      <w:marLeft w:val="0"/>
      <w:marRight w:val="0"/>
      <w:marTop w:val="0"/>
      <w:marBottom w:val="0"/>
      <w:divBdr>
        <w:top w:val="none" w:sz="0" w:space="0" w:color="auto"/>
        <w:left w:val="none" w:sz="0" w:space="0" w:color="auto"/>
        <w:bottom w:val="none" w:sz="0" w:space="0" w:color="auto"/>
        <w:right w:val="none" w:sz="0" w:space="0" w:color="auto"/>
      </w:divBdr>
    </w:div>
    <w:div w:id="1058283648">
      <w:bodyDiv w:val="1"/>
      <w:marLeft w:val="0"/>
      <w:marRight w:val="0"/>
      <w:marTop w:val="0"/>
      <w:marBottom w:val="0"/>
      <w:divBdr>
        <w:top w:val="none" w:sz="0" w:space="0" w:color="auto"/>
        <w:left w:val="none" w:sz="0" w:space="0" w:color="auto"/>
        <w:bottom w:val="none" w:sz="0" w:space="0" w:color="auto"/>
        <w:right w:val="none" w:sz="0" w:space="0" w:color="auto"/>
      </w:divBdr>
    </w:div>
    <w:div w:id="1328904037">
      <w:bodyDiv w:val="1"/>
      <w:marLeft w:val="0"/>
      <w:marRight w:val="0"/>
      <w:marTop w:val="0"/>
      <w:marBottom w:val="0"/>
      <w:divBdr>
        <w:top w:val="none" w:sz="0" w:space="0" w:color="auto"/>
        <w:left w:val="none" w:sz="0" w:space="0" w:color="auto"/>
        <w:bottom w:val="none" w:sz="0" w:space="0" w:color="auto"/>
        <w:right w:val="none" w:sz="0" w:space="0" w:color="auto"/>
      </w:divBdr>
    </w:div>
    <w:div w:id="1439636856">
      <w:bodyDiv w:val="1"/>
      <w:marLeft w:val="0"/>
      <w:marRight w:val="0"/>
      <w:marTop w:val="0"/>
      <w:marBottom w:val="0"/>
      <w:divBdr>
        <w:top w:val="none" w:sz="0" w:space="0" w:color="auto"/>
        <w:left w:val="none" w:sz="0" w:space="0" w:color="auto"/>
        <w:bottom w:val="none" w:sz="0" w:space="0" w:color="auto"/>
        <w:right w:val="none" w:sz="0" w:space="0" w:color="auto"/>
      </w:divBdr>
    </w:div>
    <w:div w:id="2076466378">
      <w:bodyDiv w:val="1"/>
      <w:marLeft w:val="0"/>
      <w:marRight w:val="0"/>
      <w:marTop w:val="0"/>
      <w:marBottom w:val="0"/>
      <w:divBdr>
        <w:top w:val="none" w:sz="0" w:space="0" w:color="auto"/>
        <w:left w:val="none" w:sz="0" w:space="0" w:color="auto"/>
        <w:bottom w:val="none" w:sz="0" w:space="0" w:color="auto"/>
        <w:right w:val="none" w:sz="0" w:space="0" w:color="auto"/>
      </w:divBdr>
    </w:div>
    <w:div w:id="2115854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5606</TotalTime>
  <Pages>13</Pages>
  <Words>1065</Words>
  <Characters>6074</Characters>
  <Application>Microsoft Office Word</Application>
  <DocSecurity>0</DocSecurity>
  <Lines>50</Lines>
  <Paragraphs>14</Paragraphs>
  <ScaleCrop>false</ScaleCrop>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yize guo</dc:creator>
  <cp:keywords/>
  <dc:description/>
  <cp:lastModifiedBy>yize guo</cp:lastModifiedBy>
  <cp:revision>5</cp:revision>
  <dcterms:created xsi:type="dcterms:W3CDTF">2025-12-15T06:10:00Z</dcterms:created>
  <dcterms:modified xsi:type="dcterms:W3CDTF">2025-12-29T14:35:00Z</dcterms:modified>
</cp:coreProperties>
</file>